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3C59" w14:textId="77777777" w:rsidR="003A27D6" w:rsidRDefault="003A27D6"/>
    <w:p w14:paraId="3FC5FDF8" w14:textId="77777777" w:rsidR="003A27D6" w:rsidRDefault="003A27D6"/>
    <w:p w14:paraId="29ACF28E" w14:textId="77777777" w:rsidR="003A27D6" w:rsidRDefault="003A27D6"/>
    <w:p w14:paraId="6AE1F4CB" w14:textId="77777777" w:rsidR="003A27D6" w:rsidRDefault="003A27D6"/>
    <w:p w14:paraId="79790D53" w14:textId="77777777" w:rsidR="003A27D6" w:rsidRDefault="003A27D6"/>
    <w:p w14:paraId="3401137A" w14:textId="77777777" w:rsidR="003A27D6" w:rsidRDefault="003A27D6"/>
    <w:p w14:paraId="2854FF92" w14:textId="77777777" w:rsidR="003A27D6" w:rsidRDefault="003A27D6"/>
    <w:p w14:paraId="5FDD4C1E" w14:textId="77777777" w:rsidR="003A27D6" w:rsidRDefault="003A27D6"/>
    <w:p w14:paraId="47BE110F" w14:textId="77777777" w:rsidR="003A27D6" w:rsidRDefault="003A27D6"/>
    <w:p w14:paraId="61A15772" w14:textId="77777777" w:rsidR="003A27D6" w:rsidRDefault="003A27D6"/>
    <w:p w14:paraId="05A498F1" w14:textId="77777777" w:rsidR="003A27D6" w:rsidRDefault="003A27D6"/>
    <w:p w14:paraId="168C17F1" w14:textId="77777777" w:rsidR="003A27D6" w:rsidRDefault="003A27D6"/>
    <w:p w14:paraId="177F297B" w14:textId="77777777" w:rsidR="003A27D6" w:rsidRDefault="003A27D6"/>
    <w:p w14:paraId="04671E9E" w14:textId="77777777" w:rsidR="003A27D6" w:rsidRDefault="003A27D6"/>
    <w:p w14:paraId="030E3917" w14:textId="77777777" w:rsidR="003A27D6" w:rsidRDefault="003A27D6"/>
    <w:p w14:paraId="53B0E8D8" w14:textId="77777777" w:rsidR="003A27D6" w:rsidRDefault="003A27D6"/>
    <w:p w14:paraId="44E176DF" w14:textId="77777777" w:rsidR="003A27D6" w:rsidRDefault="003A27D6"/>
    <w:p w14:paraId="189A0FAC" w14:textId="77777777" w:rsidR="003A27D6" w:rsidRDefault="003A27D6"/>
    <w:p w14:paraId="6957F7F9" w14:textId="77777777" w:rsidR="003A27D6" w:rsidRDefault="003A27D6"/>
    <w:p w14:paraId="6ED0F807" w14:textId="77777777" w:rsidR="003A27D6" w:rsidRDefault="003A27D6"/>
    <w:p w14:paraId="61C805F3" w14:textId="77777777" w:rsidR="003A27D6" w:rsidRDefault="003A27D6"/>
    <w:p w14:paraId="51991A36" w14:textId="77777777" w:rsidR="003A27D6" w:rsidRDefault="003A27D6"/>
    <w:p w14:paraId="798F68C6" w14:textId="77777777" w:rsidR="003A27D6" w:rsidRDefault="003A27D6"/>
    <w:p w14:paraId="0DB367FF" w14:textId="77777777" w:rsidR="003A27D6" w:rsidRDefault="008A6308">
      <w:pPr>
        <w:pStyle w:val="Title"/>
      </w:pPr>
      <w:r>
        <w:t>LIITE I</w:t>
      </w:r>
    </w:p>
    <w:p w14:paraId="36A9630D" w14:textId="77777777" w:rsidR="003A27D6" w:rsidRDefault="003A27D6"/>
    <w:p w14:paraId="1B49B328" w14:textId="77777777" w:rsidR="003A27D6" w:rsidRDefault="008A6308">
      <w:pPr>
        <w:pStyle w:val="TitleA"/>
      </w:pPr>
      <w:r>
        <w:t>VALMISTEYHTEENVETO</w:t>
      </w:r>
      <w:r>
        <w:br w:type="page"/>
      </w:r>
    </w:p>
    <w:p w14:paraId="756AB94E" w14:textId="77777777" w:rsidR="003A27D6" w:rsidRDefault="003A27D6"/>
    <w:p w14:paraId="23A96932" w14:textId="77777777" w:rsidR="003A27D6" w:rsidRDefault="003A27D6"/>
    <w:p w14:paraId="35355897" w14:textId="77777777" w:rsidR="003A27D6" w:rsidRDefault="008A6308">
      <w:pPr>
        <w:pStyle w:val="Heading1"/>
      </w:pPr>
      <w:r>
        <w:t>1.</w:t>
      </w:r>
      <w:r>
        <w:tab/>
        <w:t>LÄÄKEVALMISTEEN NIMI</w:t>
      </w:r>
    </w:p>
    <w:p w14:paraId="5A945FE3" w14:textId="77777777" w:rsidR="003A27D6" w:rsidRDefault="003A27D6">
      <w:pPr>
        <w:keepNext/>
      </w:pPr>
    </w:p>
    <w:p w14:paraId="092F68CD" w14:textId="77777777" w:rsidR="003A27D6" w:rsidRDefault="008A6308">
      <w:r>
        <w:t>Vaxchora porejauhe ja jauhe oraalisuspensiota varten</w:t>
      </w:r>
    </w:p>
    <w:p w14:paraId="7AD43212" w14:textId="77777777" w:rsidR="003A27D6" w:rsidRDefault="008A6308">
      <w:r>
        <w:t>Kolerarokote (rekombinantti, elävä, suun kautta otettava)</w:t>
      </w:r>
    </w:p>
    <w:p w14:paraId="3991E62F" w14:textId="77777777" w:rsidR="003A27D6" w:rsidRDefault="003A27D6"/>
    <w:p w14:paraId="2D38667A" w14:textId="77777777" w:rsidR="003A27D6" w:rsidRDefault="003A27D6"/>
    <w:p w14:paraId="67C02225" w14:textId="77777777" w:rsidR="003A27D6" w:rsidRDefault="008A6308">
      <w:pPr>
        <w:pStyle w:val="Heading1"/>
      </w:pPr>
      <w:r>
        <w:t>2.</w:t>
      </w:r>
      <w:r>
        <w:tab/>
        <w:t>VAIKUTTAVAT AINEET JA NIIDEN MÄÄRÄT</w:t>
      </w:r>
    </w:p>
    <w:p w14:paraId="50EADEC0" w14:textId="77777777" w:rsidR="003A27D6" w:rsidRDefault="003A27D6">
      <w:pPr>
        <w:keepNext/>
      </w:pPr>
    </w:p>
    <w:p w14:paraId="5D704882" w14:textId="0718E2A2" w:rsidR="003A27D6" w:rsidRDefault="008A6308">
      <w:r>
        <w:t>Yksi rokoteannos sisältää 4 ×</w:t>
      </w:r>
      <w:r w:rsidR="00B81B4C">
        <w:t> </w:t>
      </w:r>
      <w:r>
        <w:t>10</w:t>
      </w:r>
      <w:r>
        <w:rPr>
          <w:rStyle w:val="Superscript"/>
        </w:rPr>
        <w:t>8</w:t>
      </w:r>
      <w:r>
        <w:t> – 2 ×</w:t>
      </w:r>
      <w:r w:rsidR="00B81B4C">
        <w:t> </w:t>
      </w:r>
      <w:r>
        <w:t>10</w:t>
      </w:r>
      <w:r>
        <w:rPr>
          <w:rStyle w:val="Superscript"/>
        </w:rPr>
        <w:t>9</w:t>
      </w:r>
      <w:r>
        <w:t xml:space="preserve"> elinkelpoista solua elävästä, heikennetystä </w:t>
      </w:r>
      <w:r>
        <w:rPr>
          <w:rStyle w:val="Painotus"/>
        </w:rPr>
        <w:t>V</w:t>
      </w:r>
      <w:r w:rsidR="005F0BEC">
        <w:rPr>
          <w:rStyle w:val="Painotus"/>
        </w:rPr>
        <w:t>ibrio</w:t>
      </w:r>
      <w:r>
        <w:t> </w:t>
      </w:r>
      <w:r>
        <w:rPr>
          <w:rStyle w:val="Painotus"/>
        </w:rPr>
        <w:t>cholerae</w:t>
      </w:r>
      <w:r>
        <w:t xml:space="preserve"> -kannasta CVD 103-HgR</w:t>
      </w:r>
      <w:r>
        <w:rPr>
          <w:rStyle w:val="Superscript"/>
        </w:rPr>
        <w:t>1</w:t>
      </w:r>
      <w:r>
        <w:t>.</w:t>
      </w:r>
    </w:p>
    <w:p w14:paraId="379A9E7C" w14:textId="77777777" w:rsidR="003A27D6" w:rsidRDefault="008A6308">
      <w:r>
        <w:rPr>
          <w:rStyle w:val="Superscript"/>
        </w:rPr>
        <w:t>1</w:t>
      </w:r>
      <w:r>
        <w:t xml:space="preserve"> Tuotettu yhdistelmä-DNA-tekniikalla.</w:t>
      </w:r>
    </w:p>
    <w:p w14:paraId="41BECD2B" w14:textId="77777777" w:rsidR="003A27D6" w:rsidRDefault="003A27D6"/>
    <w:p w14:paraId="4FD1C775" w14:textId="77777777" w:rsidR="003A27D6" w:rsidRDefault="008A6308">
      <w:r>
        <w:t>Tämä lääke sisältää muuntogeenisiä organismeja (GMO).</w:t>
      </w:r>
    </w:p>
    <w:p w14:paraId="3DDDAF5E" w14:textId="77777777" w:rsidR="003A27D6" w:rsidRDefault="003A27D6"/>
    <w:p w14:paraId="1442FCAD" w14:textId="2186D271" w:rsidR="005F0BEC" w:rsidRPr="00FE7CE1" w:rsidRDefault="008A6308">
      <w:pPr>
        <w:rPr>
          <w:u w:val="single"/>
        </w:rPr>
      </w:pPr>
      <w:r w:rsidRPr="00FE7CE1">
        <w:rPr>
          <w:u w:val="single"/>
        </w:rPr>
        <w:t>Apuaineet, joiden vaikutus tunnetaan</w:t>
      </w:r>
    </w:p>
    <w:p w14:paraId="7174766D" w14:textId="77777777" w:rsidR="005F0BEC" w:rsidRDefault="005F0BEC"/>
    <w:p w14:paraId="7C9D7725" w14:textId="4C440481" w:rsidR="003A27D6" w:rsidRDefault="005F0BEC">
      <w:r>
        <w:t>Y</w:t>
      </w:r>
      <w:r w:rsidR="008A6308">
        <w:t>ksi rokoteannos sisältää</w:t>
      </w:r>
      <w:r>
        <w:t xml:space="preserve"> noin 2,3 grammaa</w:t>
      </w:r>
      <w:r w:rsidR="008A6308">
        <w:t xml:space="preserve"> laktoosia,</w:t>
      </w:r>
      <w:r>
        <w:t xml:space="preserve"> 12,5 milligrammaa</w:t>
      </w:r>
      <w:r w:rsidR="008A6308">
        <w:t xml:space="preserve"> sakkaroosia ja 863 milligrammaa natriumia.</w:t>
      </w:r>
    </w:p>
    <w:p w14:paraId="3FF0CA04" w14:textId="77777777" w:rsidR="003A27D6" w:rsidRDefault="003A27D6"/>
    <w:p w14:paraId="1382D3CC" w14:textId="77777777" w:rsidR="003A27D6" w:rsidRDefault="008A6308">
      <w:r>
        <w:t>Täydellinen apuaineluettelo, ks. kohta 6.1.</w:t>
      </w:r>
    </w:p>
    <w:p w14:paraId="1D03F282" w14:textId="77777777" w:rsidR="003A27D6" w:rsidRDefault="003A27D6"/>
    <w:p w14:paraId="3B7B1DF3" w14:textId="77777777" w:rsidR="003A27D6" w:rsidRDefault="003A27D6"/>
    <w:p w14:paraId="7D38BA02" w14:textId="77777777" w:rsidR="003A27D6" w:rsidRDefault="008A6308">
      <w:pPr>
        <w:pStyle w:val="Heading1"/>
      </w:pPr>
      <w:r>
        <w:t>3.</w:t>
      </w:r>
      <w:r>
        <w:tab/>
        <w:t>LÄÄKEMUOTO</w:t>
      </w:r>
    </w:p>
    <w:p w14:paraId="0444CA8D" w14:textId="77777777" w:rsidR="003A27D6" w:rsidRDefault="003A27D6">
      <w:pPr>
        <w:keepNext/>
      </w:pPr>
    </w:p>
    <w:p w14:paraId="5E1B4562" w14:textId="77777777" w:rsidR="003A27D6" w:rsidRDefault="008A6308">
      <w:r>
        <w:t>Porejauhe ja jauhe oraalisuspensiota varten.</w:t>
      </w:r>
    </w:p>
    <w:p w14:paraId="23015B8D" w14:textId="77777777" w:rsidR="005F0BEC" w:rsidRDefault="005F0BEC"/>
    <w:p w14:paraId="5741A95A" w14:textId="017FE859" w:rsidR="003A27D6" w:rsidRDefault="008A6308">
      <w:r>
        <w:t>Valkoinen tai lähes valkoinen puskurijauhe ja valkoinen tai beige jauhe, joka sisältää vaikuttavan aineen.</w:t>
      </w:r>
    </w:p>
    <w:p w14:paraId="0D0AB8FD" w14:textId="77777777" w:rsidR="003A27D6" w:rsidRDefault="003A27D6"/>
    <w:p w14:paraId="6F678CD6" w14:textId="77777777" w:rsidR="003A27D6" w:rsidRDefault="003A27D6"/>
    <w:p w14:paraId="7292E028" w14:textId="77777777" w:rsidR="003A27D6" w:rsidRDefault="008A6308">
      <w:pPr>
        <w:pStyle w:val="Heading1"/>
      </w:pPr>
      <w:r>
        <w:t>4.</w:t>
      </w:r>
      <w:r>
        <w:tab/>
        <w:t>KLIINISET TIEDOT</w:t>
      </w:r>
    </w:p>
    <w:p w14:paraId="07AE4676" w14:textId="77777777" w:rsidR="003A27D6" w:rsidRDefault="003A27D6">
      <w:pPr>
        <w:keepNext/>
      </w:pPr>
    </w:p>
    <w:p w14:paraId="43D1CDF2" w14:textId="77777777" w:rsidR="003A27D6" w:rsidRDefault="008A6308">
      <w:pPr>
        <w:pStyle w:val="Heading2"/>
      </w:pPr>
      <w:r>
        <w:t>4.1</w:t>
      </w:r>
      <w:r>
        <w:tab/>
        <w:t>Käyttöaiheet</w:t>
      </w:r>
    </w:p>
    <w:p w14:paraId="62D695C7" w14:textId="77777777" w:rsidR="003A27D6" w:rsidRDefault="003A27D6">
      <w:pPr>
        <w:keepNext/>
      </w:pPr>
    </w:p>
    <w:p w14:paraId="5D3CDD77" w14:textId="77777777" w:rsidR="003A27D6" w:rsidRDefault="008A6308">
      <w:r>
        <w:t xml:space="preserve">Vaxchora on tarkoitettu aikuisten ja 2 vuoden ikäisten ja vanhempien lasten aktiiviseen immunisaatioon </w:t>
      </w:r>
      <w:r>
        <w:rPr>
          <w:rStyle w:val="Painotus"/>
        </w:rPr>
        <w:t>Vibrio cholerae</w:t>
      </w:r>
      <w:r>
        <w:t xml:space="preserve"> O1 -seroryhmän aiheuttamaa sairautta vastaan.</w:t>
      </w:r>
    </w:p>
    <w:p w14:paraId="030906D6" w14:textId="77777777" w:rsidR="003A27D6" w:rsidRDefault="003A27D6"/>
    <w:p w14:paraId="0C57E2BD" w14:textId="77777777" w:rsidR="003A27D6" w:rsidRDefault="008A6308">
      <w:r>
        <w:t>Tätä rokotetta on käytettävä virallisten suositusten mukaisesti.</w:t>
      </w:r>
    </w:p>
    <w:p w14:paraId="22A21979" w14:textId="77777777" w:rsidR="003A27D6" w:rsidRDefault="003A27D6"/>
    <w:p w14:paraId="3FB7F2E4" w14:textId="77777777" w:rsidR="003A27D6" w:rsidRDefault="008A6308">
      <w:pPr>
        <w:pStyle w:val="Heading2"/>
      </w:pPr>
      <w:r>
        <w:t>4.2</w:t>
      </w:r>
      <w:r>
        <w:tab/>
        <w:t>Annostus ja antotapa</w:t>
      </w:r>
    </w:p>
    <w:p w14:paraId="0EEDEB69" w14:textId="77777777" w:rsidR="003A27D6" w:rsidRDefault="003A27D6">
      <w:pPr>
        <w:keepNext/>
      </w:pPr>
    </w:p>
    <w:p w14:paraId="586CDD61" w14:textId="77777777" w:rsidR="003A27D6" w:rsidRDefault="008A6308">
      <w:pPr>
        <w:pStyle w:val="HeadingUnderlined"/>
      </w:pPr>
      <w:r>
        <w:t>Annostus</w:t>
      </w:r>
    </w:p>
    <w:p w14:paraId="6375C1F4" w14:textId="77777777" w:rsidR="003A27D6" w:rsidRDefault="003A27D6"/>
    <w:p w14:paraId="379EA72D" w14:textId="686D9F54" w:rsidR="003A27D6" w:rsidRDefault="008A6308">
      <w:pPr>
        <w:pStyle w:val="HeadingStrongEmphasis"/>
      </w:pPr>
      <w:r w:rsidRPr="00FE7CE1">
        <w:rPr>
          <w:b w:val="0"/>
          <w:bCs w:val="0"/>
        </w:rPr>
        <w:t xml:space="preserve">Aikuiset ja </w:t>
      </w:r>
      <w:r w:rsidR="00812E6C" w:rsidRPr="00FE7CE1">
        <w:rPr>
          <w:b w:val="0"/>
          <w:bCs w:val="0"/>
        </w:rPr>
        <w:t>2-vuotiaat ja sitä vanhemmat lapset</w:t>
      </w:r>
    </w:p>
    <w:p w14:paraId="5C8034A6" w14:textId="77777777" w:rsidR="003A27D6" w:rsidRDefault="003A27D6"/>
    <w:p w14:paraId="3D70B333" w14:textId="50864AE2" w:rsidR="003A27D6" w:rsidRDefault="008A6308">
      <w:r>
        <w:t xml:space="preserve">Yksi suun kautta annettava kerta-annos annetaan viimeistään 10 vuorokautta ennen mahdollista altistumista </w:t>
      </w:r>
      <w:r>
        <w:rPr>
          <w:rStyle w:val="Painotus"/>
        </w:rPr>
        <w:t>V</w:t>
      </w:r>
      <w:r w:rsidR="005F0BEC">
        <w:rPr>
          <w:rStyle w:val="Painotus"/>
        </w:rPr>
        <w:t>ibrio</w:t>
      </w:r>
      <w:r>
        <w:t> </w:t>
      </w:r>
      <w:r>
        <w:rPr>
          <w:rStyle w:val="Painotus"/>
        </w:rPr>
        <w:t>cholerae</w:t>
      </w:r>
      <w:r>
        <w:t xml:space="preserve"> O1: lle.</w:t>
      </w:r>
    </w:p>
    <w:p w14:paraId="1823B365" w14:textId="03DEDFB9" w:rsidR="005F0BEC" w:rsidRDefault="005F0BEC">
      <w:r>
        <w:t>Alle puolikkaan annoksen nauttiminen voi heikentää rokotesuojaa. Jos nautitaan alle puolet annoksesta, voidaan harkita täyden Vaxchora-annoksen antamista uudelleen 72 tunnin sisällä.</w:t>
      </w:r>
    </w:p>
    <w:p w14:paraId="27977EC6" w14:textId="77777777" w:rsidR="003A27D6" w:rsidRDefault="003A27D6"/>
    <w:p w14:paraId="79E74433" w14:textId="77777777" w:rsidR="003A27D6" w:rsidRPr="00FE7CE1" w:rsidRDefault="008A6308">
      <w:pPr>
        <w:pStyle w:val="HeadingStrongEmphasis"/>
        <w:rPr>
          <w:b w:val="0"/>
          <w:bCs w:val="0"/>
        </w:rPr>
      </w:pPr>
      <w:r w:rsidRPr="00FE7CE1">
        <w:rPr>
          <w:b w:val="0"/>
          <w:bCs w:val="0"/>
        </w:rPr>
        <w:t>Uusintarokotus</w:t>
      </w:r>
    </w:p>
    <w:p w14:paraId="3830434D" w14:textId="77777777" w:rsidR="003A27D6" w:rsidRDefault="003A27D6"/>
    <w:p w14:paraId="2E92B4AB" w14:textId="77777777" w:rsidR="003A27D6" w:rsidRDefault="008A6308">
      <w:r>
        <w:t>Tietoa uusintarokotuksen antamisajankohdasta ei ole saatavilla.</w:t>
      </w:r>
    </w:p>
    <w:p w14:paraId="4D29D9D7" w14:textId="77777777" w:rsidR="003A27D6" w:rsidRDefault="003A27D6"/>
    <w:p w14:paraId="5996DF27" w14:textId="77777777" w:rsidR="003A27D6" w:rsidRDefault="008A6308">
      <w:pPr>
        <w:pStyle w:val="HeadingEmphasis"/>
      </w:pPr>
      <w:r>
        <w:lastRenderedPageBreak/>
        <w:t>Pediatriset potilaat</w:t>
      </w:r>
    </w:p>
    <w:p w14:paraId="0BFBB10A" w14:textId="77777777" w:rsidR="003A27D6" w:rsidRDefault="003A27D6">
      <w:pPr>
        <w:keepNext/>
      </w:pPr>
    </w:p>
    <w:p w14:paraId="11354A5E" w14:textId="4AF3931F" w:rsidR="00812E6C" w:rsidRDefault="00812E6C" w:rsidP="00812E6C">
      <w:r w:rsidRPr="001F68DC">
        <w:t>Vaxchoran turvallisuutta ja tehoa alle 2</w:t>
      </w:r>
      <w:r w:rsidR="00671040" w:rsidRPr="001F68DC">
        <w:t> </w:t>
      </w:r>
      <w:r w:rsidRPr="00262B78">
        <w:t xml:space="preserve">vuoden ikäisillä lapsilla </w:t>
      </w:r>
      <w:r w:rsidRPr="001F68DC">
        <w:t>ei ole varmistettu. Tietoja ei ole saatavilla</w:t>
      </w:r>
      <w:r>
        <w:t>.</w:t>
      </w:r>
    </w:p>
    <w:p w14:paraId="5502393D" w14:textId="77777777" w:rsidR="003A27D6" w:rsidRDefault="003A27D6"/>
    <w:p w14:paraId="515AB9E4" w14:textId="77777777" w:rsidR="003A27D6" w:rsidRDefault="008A6308">
      <w:pPr>
        <w:pStyle w:val="HeadingUnderlined"/>
      </w:pPr>
      <w:r>
        <w:t>Antotapa</w:t>
      </w:r>
    </w:p>
    <w:p w14:paraId="209A4CC7" w14:textId="77777777" w:rsidR="003A27D6" w:rsidRDefault="003A27D6"/>
    <w:p w14:paraId="5A8025D0" w14:textId="77777777" w:rsidR="003A27D6" w:rsidRDefault="008A6308">
      <w:r>
        <w:t>Suun kautta.</w:t>
      </w:r>
    </w:p>
    <w:p w14:paraId="01378D42" w14:textId="77777777" w:rsidR="003A27D6" w:rsidRDefault="003A27D6"/>
    <w:p w14:paraId="4B32D7A5" w14:textId="6486B40B" w:rsidR="003A27D6" w:rsidRDefault="008A6308">
      <w:r>
        <w:t xml:space="preserve">Ks. kohdasta 6.6 ohjeet Vaxchoran saattamisesta käyttökuntoon ennen </w:t>
      </w:r>
      <w:r w:rsidR="00812E6C">
        <w:t xml:space="preserve">sen </w:t>
      </w:r>
      <w:r>
        <w:t>antoa.</w:t>
      </w:r>
    </w:p>
    <w:p w14:paraId="7887B765" w14:textId="77777777" w:rsidR="003A27D6" w:rsidRDefault="003A27D6"/>
    <w:p w14:paraId="09939CEC" w14:textId="1EB60302" w:rsidR="003A27D6" w:rsidRDefault="008A6308">
      <w:r>
        <w:t xml:space="preserve">Ruoan ja juoman nauttimista tulee välttää 60 minuuttia ennen </w:t>
      </w:r>
      <w:r w:rsidR="005F0BEC">
        <w:t xml:space="preserve">tämän rokotteen </w:t>
      </w:r>
      <w:r>
        <w:t>ottamista suun kautta ja 60 minuuttia sen jälkeen.</w:t>
      </w:r>
    </w:p>
    <w:p w14:paraId="7EF7CDB1" w14:textId="18EF806A" w:rsidR="003A27D6" w:rsidRDefault="008A6308">
      <w:r>
        <w:t>Käyttökuntoon saatettu rokote on hieman samea suspensio, joka voi sisältää jonkin verran valkeita hiukkasia. Käyttökuntoon saattamisen jälkeen suspensio on juotava 15 minuutin kuluessa. Rokotettavan henkilön on juotava kupin koko sisältö kerralla.</w:t>
      </w:r>
    </w:p>
    <w:p w14:paraId="2DF2CA02" w14:textId="77777777" w:rsidR="003A27D6" w:rsidRDefault="003A27D6"/>
    <w:p w14:paraId="563C6AE5" w14:textId="77777777" w:rsidR="003A27D6" w:rsidRDefault="008A6308">
      <w:pPr>
        <w:pStyle w:val="Heading2"/>
      </w:pPr>
      <w:r>
        <w:t>4.3</w:t>
      </w:r>
      <w:r>
        <w:tab/>
        <w:t>Vasta-aiheet</w:t>
      </w:r>
    </w:p>
    <w:p w14:paraId="66DDA78F" w14:textId="77777777" w:rsidR="003A27D6" w:rsidRDefault="003A27D6">
      <w:pPr>
        <w:keepNext/>
      </w:pPr>
    </w:p>
    <w:p w14:paraId="60720704" w14:textId="77777777" w:rsidR="003A27D6" w:rsidRDefault="008A6308">
      <w:r>
        <w:t>Yliherkkyys vaikuttavalle aineelle (vaikuttaville aineille) tai kohdassa 6.1 mainituille apuaineille.</w:t>
      </w:r>
    </w:p>
    <w:p w14:paraId="4D0F604B" w14:textId="77777777" w:rsidR="003A27D6" w:rsidRDefault="003A27D6"/>
    <w:p w14:paraId="61EDF13D" w14:textId="2AA3E7F9" w:rsidR="003A27D6" w:rsidRDefault="008A6308">
      <w:r>
        <w:t>Henkilöt, joilla on synnynnäinen immuunipuutos tai jotka saavat immunosuppressiivis</w:t>
      </w:r>
      <w:r w:rsidR="00F72A2E">
        <w:t>ta</w:t>
      </w:r>
      <w:r>
        <w:t xml:space="preserve"> hoitoa.</w:t>
      </w:r>
    </w:p>
    <w:p w14:paraId="004CA2C1" w14:textId="77777777" w:rsidR="003A27D6" w:rsidRDefault="003A27D6"/>
    <w:p w14:paraId="170C87AE" w14:textId="77777777" w:rsidR="003A27D6" w:rsidRDefault="008A6308">
      <w:pPr>
        <w:pStyle w:val="Heading2"/>
      </w:pPr>
      <w:r>
        <w:t>4.4</w:t>
      </w:r>
      <w:r>
        <w:tab/>
        <w:t>Varoitukset ja käyttöön liittyvät varotoimet</w:t>
      </w:r>
    </w:p>
    <w:p w14:paraId="56BDCF37" w14:textId="77777777" w:rsidR="003A27D6" w:rsidRDefault="003A27D6"/>
    <w:p w14:paraId="4AC3513F" w14:textId="77777777" w:rsidR="003A27D6" w:rsidRDefault="008A6308">
      <w:pPr>
        <w:pStyle w:val="HeadingUnderlined"/>
      </w:pPr>
      <w:r>
        <w:t>Jäljitettävyys</w:t>
      </w:r>
    </w:p>
    <w:p w14:paraId="4210A8E4" w14:textId="77777777" w:rsidR="003A27D6" w:rsidRDefault="003A27D6">
      <w:pPr>
        <w:keepNext/>
      </w:pPr>
    </w:p>
    <w:p w14:paraId="142C05DA" w14:textId="77777777" w:rsidR="003A27D6" w:rsidRDefault="008A6308">
      <w:r>
        <w:t>Biologisten lääkevalmisteiden jäljitettävyyden parantamiseksi on annetun valmisteen nimi ja eränumero dokumentoitava selkeästi.</w:t>
      </w:r>
    </w:p>
    <w:p w14:paraId="77E9398F" w14:textId="77777777" w:rsidR="003A27D6" w:rsidRDefault="003A27D6"/>
    <w:p w14:paraId="49521A16" w14:textId="77777777" w:rsidR="003A27D6" w:rsidRDefault="008A6308">
      <w:pPr>
        <w:pStyle w:val="HeadingUnderlined"/>
      </w:pPr>
      <w:r>
        <w:t>Suojatehoon vaikuttavat tekijät</w:t>
      </w:r>
    </w:p>
    <w:p w14:paraId="6DBF90A3" w14:textId="77777777" w:rsidR="003A27D6" w:rsidRDefault="003A27D6">
      <w:pPr>
        <w:keepNext/>
      </w:pPr>
    </w:p>
    <w:p w14:paraId="691CA477" w14:textId="6D0709E8" w:rsidR="003A27D6" w:rsidRDefault="008A6308">
      <w:r>
        <w:t xml:space="preserve">Vaxchora antaa suojan nimenomaan </w:t>
      </w:r>
      <w:r>
        <w:rPr>
          <w:rStyle w:val="Painotus"/>
        </w:rPr>
        <w:t>Vibrio cholerae</w:t>
      </w:r>
      <w:r>
        <w:t xml:space="preserve"> -seroryhmää O1 vastaan. Immunisaatio ei anna suojaa </w:t>
      </w:r>
      <w:r>
        <w:rPr>
          <w:rStyle w:val="Painotus"/>
        </w:rPr>
        <w:t>V</w:t>
      </w:r>
      <w:r w:rsidR="00F72A2E">
        <w:rPr>
          <w:rStyle w:val="Painotus"/>
        </w:rPr>
        <w:t>ibrio</w:t>
      </w:r>
      <w:r>
        <w:t> </w:t>
      </w:r>
      <w:r>
        <w:rPr>
          <w:rStyle w:val="Painotus"/>
        </w:rPr>
        <w:t>cholerae</w:t>
      </w:r>
      <w:r>
        <w:t xml:space="preserve"> O139: ää tai muita Vibrio-lajeja vastaan.</w:t>
      </w:r>
    </w:p>
    <w:p w14:paraId="0ADE4EC3" w14:textId="77777777" w:rsidR="003A27D6" w:rsidRDefault="003A27D6"/>
    <w:p w14:paraId="0D80470A" w14:textId="4213E9F0" w:rsidR="003A27D6" w:rsidRDefault="00F72A2E">
      <w:r>
        <w:t xml:space="preserve">Tämä rokote </w:t>
      </w:r>
      <w:r w:rsidR="008A6308">
        <w:t>ei anna täydellistä suojaa. Rokotettujen henkilöiden on noudatettava hygieniaohjeita ja suhtauduttava varoen ruoan ja juoman nauttimiseen koleran esiintymisalueilla.</w:t>
      </w:r>
    </w:p>
    <w:p w14:paraId="0D3206F4" w14:textId="77777777" w:rsidR="003A27D6" w:rsidRDefault="003A27D6"/>
    <w:p w14:paraId="53417A95" w14:textId="77777777" w:rsidR="003A27D6" w:rsidRDefault="008A6308">
      <w:r>
        <w:t>Tietoja ei ole saatavilla henkilöistä, jotka asuvat koleran esiintymisalueilla, eikä henkilöistä, joilla on jo ennestään immuniteetti koleraa vastaan.</w:t>
      </w:r>
    </w:p>
    <w:p w14:paraId="12088BF6" w14:textId="77777777" w:rsidR="003A27D6" w:rsidRDefault="003A27D6"/>
    <w:p w14:paraId="6CEE0A12" w14:textId="11028251" w:rsidR="003A27D6" w:rsidRDefault="00F72A2E">
      <w:r>
        <w:t xml:space="preserve">Tämän rokotteen </w:t>
      </w:r>
      <w:r w:rsidR="008A6308">
        <w:t>suojavaikutus voi olla heikentynyt henkilöillä, joilla on HIV-infektio.</w:t>
      </w:r>
    </w:p>
    <w:p w14:paraId="03054D1A" w14:textId="77777777" w:rsidR="003A27D6" w:rsidRDefault="003A27D6"/>
    <w:p w14:paraId="7D6B9BF5" w14:textId="77777777" w:rsidR="003A27D6" w:rsidRDefault="008A6308">
      <w:pPr>
        <w:pStyle w:val="HeadingUnderlined"/>
      </w:pPr>
      <w:r>
        <w:t>Mahdollinen riski läheisille</w:t>
      </w:r>
    </w:p>
    <w:p w14:paraId="244B0B15" w14:textId="77777777" w:rsidR="003A27D6" w:rsidRDefault="003A27D6">
      <w:pPr>
        <w:keepNext/>
      </w:pPr>
    </w:p>
    <w:p w14:paraId="6DF4DF98" w14:textId="771B3F7E" w:rsidR="003A27D6" w:rsidRDefault="008A6308">
      <w:r>
        <w:t>Vaxchoran sisältämän kannan erittymistä ulosteisiin tutkittiin 7 päivän ajan rokottamisen jälkeen, ja sitä todettiin 11,3</w:t>
      </w:r>
      <w:r w:rsidR="00671040">
        <w:t> </w:t>
      </w:r>
      <w:r>
        <w:t>%:lla rokotetuista. Ei tiedetä, miten kauan rokotekannan erittyminen jatkuu. Rokotekannan tarttuminen rokottamattomiin henkilöihin, jotka ovat lähikontaktissa rokotettuun (esim. samassa taloudessa asuvat), on mahdollista.</w:t>
      </w:r>
    </w:p>
    <w:p w14:paraId="6632C88C" w14:textId="77777777" w:rsidR="003A27D6" w:rsidRDefault="003A27D6"/>
    <w:p w14:paraId="4544864A" w14:textId="77777777" w:rsidR="003A27D6" w:rsidRDefault="008A6308">
      <w:pPr>
        <w:pStyle w:val="HeadingUnderlined"/>
      </w:pPr>
      <w:r>
        <w:t>Samanaikainen anto bakteerilääkkeiden ja/tai klorokiinin kanssa</w:t>
      </w:r>
    </w:p>
    <w:p w14:paraId="70E0A025" w14:textId="77777777" w:rsidR="003A27D6" w:rsidRDefault="003A27D6">
      <w:pPr>
        <w:keepNext/>
      </w:pPr>
    </w:p>
    <w:p w14:paraId="746C8E6B" w14:textId="593B3970" w:rsidR="003A27D6" w:rsidRDefault="008A6308">
      <w:r>
        <w:t xml:space="preserve">Samanaikaista antoa bakteerilääkkeiden ja/tai klorokiinin kanssa on vältettävä, koska suojavaikutus koleraa vastaan voi heikentyä </w:t>
      </w:r>
      <w:r w:rsidR="00F72A2E">
        <w:t>(k</w:t>
      </w:r>
      <w:r>
        <w:t>s. kohta 4.5</w:t>
      </w:r>
      <w:r w:rsidR="00F72A2E">
        <w:t>)</w:t>
      </w:r>
      <w:r>
        <w:t>.</w:t>
      </w:r>
    </w:p>
    <w:p w14:paraId="03A09D21" w14:textId="77777777" w:rsidR="003A27D6" w:rsidRDefault="003A27D6"/>
    <w:p w14:paraId="43B8B103" w14:textId="77777777" w:rsidR="003A27D6" w:rsidRDefault="008A6308">
      <w:pPr>
        <w:pStyle w:val="HeadingUnderlined"/>
      </w:pPr>
      <w:r>
        <w:lastRenderedPageBreak/>
        <w:t>Ruoansulatuskanavan sairaudet</w:t>
      </w:r>
    </w:p>
    <w:p w14:paraId="1F6B9882" w14:textId="77777777" w:rsidR="003A27D6" w:rsidRDefault="003A27D6">
      <w:pPr>
        <w:keepNext/>
      </w:pPr>
    </w:p>
    <w:p w14:paraId="7DC67396" w14:textId="77777777" w:rsidR="003A27D6" w:rsidRDefault="008A6308">
      <w:r>
        <w:t>Jos rokotettavalla on akuutti gastroenteriitti, rokotusta on lykättävä, kunnes potilas on toipunut, koska suojavaikutus koleraa vastaan voi heikentyä. Suojavaikutuksen voimakkuutta ja rokotuksen vaikutuksia henkilöillä, joilla on krooninen ruoansulatuskanavan sairaus, ei tunneta.</w:t>
      </w:r>
    </w:p>
    <w:p w14:paraId="414D42D2" w14:textId="77777777" w:rsidR="003A27D6" w:rsidRDefault="003A27D6"/>
    <w:p w14:paraId="4C09398C" w14:textId="77777777" w:rsidR="003A27D6" w:rsidRDefault="008A6308">
      <w:pPr>
        <w:pStyle w:val="HeadingUnderlined"/>
      </w:pPr>
      <w:r>
        <w:t>Kliinisten tietojen rajoitukset</w:t>
      </w:r>
    </w:p>
    <w:p w14:paraId="18F17FBC" w14:textId="77777777" w:rsidR="003A27D6" w:rsidRDefault="003A27D6">
      <w:pPr>
        <w:keepNext/>
      </w:pPr>
    </w:p>
    <w:p w14:paraId="03BE1AE7" w14:textId="77777777" w:rsidR="003A27D6" w:rsidRDefault="008A6308">
      <w:r>
        <w:t>Kliinisiä tutkimuksia on tehty 2–64</w:t>
      </w:r>
      <w:r>
        <w:noBreakHyphen/>
        <w:t>vuotiaille henkilöille. Rokotteen teho osoitettiin ihmisten kolera-altistuksella, joka tehtiin 10 vuorokautta tai 3 kuukautta rokotuksen jälkeen 18–45</w:t>
      </w:r>
      <w:r>
        <w:noBreakHyphen/>
        <w:t>vuotiaille aikuisille, ja serokonversioprosenttien perusteella immunogeenisuustulokset voitiin yleistää koskemaan myös muita populaatioita. Immunogeenisuustietoja on saatavilla rokotusta seuraavien 24 kuukauden ajalta (ks. kohta 5.1). Immunogeenisuus- tai tehokkuustietoja ei ole saatavilla yli 64</w:t>
      </w:r>
      <w:r>
        <w:noBreakHyphen/>
        <w:t>vuotiaista henkilöistä.</w:t>
      </w:r>
    </w:p>
    <w:p w14:paraId="2F1ACDF6" w14:textId="77777777" w:rsidR="003A27D6" w:rsidRDefault="003A27D6"/>
    <w:p w14:paraId="325C1921" w14:textId="77777777" w:rsidR="003A27D6" w:rsidRDefault="008A6308">
      <w:pPr>
        <w:pStyle w:val="HeadingUnderlined"/>
      </w:pPr>
      <w:r>
        <w:t>Apuaineet</w:t>
      </w:r>
    </w:p>
    <w:p w14:paraId="123CDAC3" w14:textId="77777777" w:rsidR="003A27D6" w:rsidRDefault="003A27D6">
      <w:pPr>
        <w:keepNext/>
      </w:pPr>
    </w:p>
    <w:p w14:paraId="43A1212A" w14:textId="3A1ACC5F" w:rsidR="003A27D6" w:rsidRDefault="00F72A2E">
      <w:r>
        <w:t>Tämä r</w:t>
      </w:r>
      <w:r w:rsidR="008A6308">
        <w:t xml:space="preserve">okote sisältää laktoosia. Potilaiden, joilla on harvinainen perinnöllinen galaktoosi-intoleranssi, </w:t>
      </w:r>
      <w:r>
        <w:t xml:space="preserve">täydellinen </w:t>
      </w:r>
      <w:r w:rsidR="008A6308">
        <w:t>laktaasinpuutos</w:t>
      </w:r>
      <w:r>
        <w:t xml:space="preserve"> tai</w:t>
      </w:r>
      <w:r w:rsidR="008A6308">
        <w:t xml:space="preserve"> glukoosi-galaktoosi-imeytymishäiriö, ei pidä käyttää tätä lääkettä.</w:t>
      </w:r>
    </w:p>
    <w:p w14:paraId="3AA6A2F4" w14:textId="77777777" w:rsidR="00F72A2E" w:rsidRDefault="00F72A2E"/>
    <w:p w14:paraId="78641BF4" w14:textId="672A7C9A" w:rsidR="00F72A2E" w:rsidRDefault="00F72A2E">
      <w:r>
        <w:t>Tämä rokote sisältää sakkaroosia. Potilaiden, joilla on harvinainen perinnöllinen fruktoosi-intoleranssi, glukoosi-galaktoosi-imeytymishäiriö tai sakkaroosi-isomaltaasin puutos, ei pidä käyttää tätä lääkettä.</w:t>
      </w:r>
    </w:p>
    <w:p w14:paraId="17821630" w14:textId="77777777" w:rsidR="003A27D6" w:rsidRDefault="003A27D6"/>
    <w:p w14:paraId="7499DF50" w14:textId="5EBB5DB7" w:rsidR="003A27D6" w:rsidRDefault="008A6308">
      <w:r>
        <w:t xml:space="preserve">Tämä </w:t>
      </w:r>
      <w:r w:rsidR="00F72A2E">
        <w:t xml:space="preserve">rokote </w:t>
      </w:r>
      <w:r>
        <w:t>sisältää 863 mg natriumia per annos, joka vastaa 43</w:t>
      </w:r>
      <w:r w:rsidR="00671040">
        <w:t> </w:t>
      </w:r>
      <w:r>
        <w:t xml:space="preserve">% WHO:n suosittelemasta natriumin 2 g:n päivittäisestä enimmäissaannista </w:t>
      </w:r>
      <w:r w:rsidRPr="00FE7CE1">
        <w:t xml:space="preserve">terveille </w:t>
      </w:r>
      <w:r>
        <w:t>aikuisille.</w:t>
      </w:r>
    </w:p>
    <w:p w14:paraId="4E1902E3" w14:textId="77777777" w:rsidR="003A27D6" w:rsidRDefault="003A27D6"/>
    <w:p w14:paraId="30909E00" w14:textId="77777777" w:rsidR="003A27D6" w:rsidRDefault="008A6308">
      <w:pPr>
        <w:pStyle w:val="Heading2"/>
      </w:pPr>
      <w:r>
        <w:t>4.5</w:t>
      </w:r>
      <w:r>
        <w:tab/>
        <w:t>Yhteisvaikutukset muiden lääkevalmisteiden kanssa sekä muut yhteisvaikutukset</w:t>
      </w:r>
    </w:p>
    <w:p w14:paraId="370A302E" w14:textId="77777777" w:rsidR="003A27D6" w:rsidRDefault="003A27D6">
      <w:pPr>
        <w:keepNext/>
      </w:pPr>
    </w:p>
    <w:p w14:paraId="1CE727CF" w14:textId="55070F65" w:rsidR="003A27D6" w:rsidRDefault="008A6308">
      <w:r>
        <w:t xml:space="preserve">Yhteisvaikutustutkimuksia ei ole tehty Vaxchoralla, mutta muista rokotteista saatuja tietoja ja kliinistä kokemusta voidaan soveltaa </w:t>
      </w:r>
      <w:r w:rsidR="00BB1B18">
        <w:t>tähän rokotteeseen</w:t>
      </w:r>
      <w:r>
        <w:t>.</w:t>
      </w:r>
    </w:p>
    <w:p w14:paraId="6AEEF488" w14:textId="77777777" w:rsidR="003A27D6" w:rsidRDefault="003A27D6"/>
    <w:p w14:paraId="4006894F" w14:textId="6F74887B" w:rsidR="00BB1B18" w:rsidRPr="00FE7CE1" w:rsidRDefault="00BB1B18">
      <w:pPr>
        <w:rPr>
          <w:i/>
          <w:iCs/>
        </w:rPr>
      </w:pPr>
      <w:r>
        <w:rPr>
          <w:i/>
          <w:iCs/>
        </w:rPr>
        <w:t>Suun kautta otettava lavantautirokote</w:t>
      </w:r>
    </w:p>
    <w:p w14:paraId="49C60896" w14:textId="77777777" w:rsidR="00BB1B18" w:rsidRDefault="00BB1B18"/>
    <w:p w14:paraId="6C27F86B" w14:textId="45238826" w:rsidR="003A27D6" w:rsidRDefault="00BB1B18">
      <w:r>
        <w:t xml:space="preserve">Tämän rokotteen </w:t>
      </w:r>
      <w:r w:rsidR="008A6308">
        <w:t xml:space="preserve">ja Ty21a-lavantautirokotteen (enterokapselit) antamisen välillä on odotettava 2 tuntia, sillä </w:t>
      </w:r>
      <w:r>
        <w:t xml:space="preserve">tämän rokotteen </w:t>
      </w:r>
      <w:r w:rsidR="008A6308">
        <w:t>kanssa annettava puskuri saattaa vaikuttaa kapselien kulkeutumiseen ruoansulatuskanavan läpi.</w:t>
      </w:r>
    </w:p>
    <w:p w14:paraId="54721A2E" w14:textId="77777777" w:rsidR="003A27D6" w:rsidRDefault="003A27D6"/>
    <w:p w14:paraId="1EA9DF74" w14:textId="21C6BED2" w:rsidR="00BB1B18" w:rsidRDefault="00BB1B18">
      <w:r>
        <w:rPr>
          <w:i/>
          <w:iCs/>
        </w:rPr>
        <w:t>Antibiootit</w:t>
      </w:r>
    </w:p>
    <w:p w14:paraId="27A65474" w14:textId="77777777" w:rsidR="00BB1B18" w:rsidRPr="00BB1B18" w:rsidRDefault="00BB1B18"/>
    <w:p w14:paraId="3863338C" w14:textId="36477CDE" w:rsidR="003A27D6" w:rsidRDefault="00BB1B18">
      <w:r>
        <w:t xml:space="preserve">Tämän rokotteen </w:t>
      </w:r>
      <w:r w:rsidR="008A6308">
        <w:t xml:space="preserve">antamista samanaikaisesti </w:t>
      </w:r>
      <w:r w:rsidR="008A6308">
        <w:rPr>
          <w:rStyle w:val="Painotus"/>
        </w:rPr>
        <w:t>V</w:t>
      </w:r>
      <w:r>
        <w:rPr>
          <w:rStyle w:val="Painotus"/>
        </w:rPr>
        <w:t>ibrio</w:t>
      </w:r>
      <w:r w:rsidR="008A6308">
        <w:t> </w:t>
      </w:r>
      <w:r w:rsidR="008A6308">
        <w:rPr>
          <w:rStyle w:val="Painotus"/>
        </w:rPr>
        <w:t>cholerae</w:t>
      </w:r>
      <w:r w:rsidR="008A6308">
        <w:t xml:space="preserve"> -bakteeriin tehoavien systeemisten antibioottien kanssa on vältettävä, sillä tällaisten lääkeaineiden vaikutuksesta </w:t>
      </w:r>
      <w:r w:rsidR="004A5172">
        <w:t xml:space="preserve">riittävä replikaatio bakteereissa </w:t>
      </w:r>
      <w:r w:rsidR="008A6308">
        <w:t xml:space="preserve">voi estyä, eikä suojaavaa immuunivastetta muodostu. </w:t>
      </w:r>
      <w:r>
        <w:t xml:space="preserve">Tätä rokotetta </w:t>
      </w:r>
      <w:r w:rsidR="008A6308">
        <w:t>ei pidä antaa potilaille, jotka ovat saaneet suun kautta annettavia tai parenteraalisia antibiootteja rokotusta edeltävän 14</w:t>
      </w:r>
      <w:r w:rsidR="0090449D">
        <w:t> </w:t>
      </w:r>
      <w:r w:rsidR="008A6308">
        <w:t>vuorokauden aikana. Suun kautta annettavien tai parenteraalisten antibioottien käyttöä on vältettävä 10</w:t>
      </w:r>
      <w:r w:rsidR="0090449D">
        <w:t> </w:t>
      </w:r>
      <w:r w:rsidR="008A6308">
        <w:t xml:space="preserve">vuorokauden ajan </w:t>
      </w:r>
      <w:r>
        <w:t xml:space="preserve">tämän rokotteen </w:t>
      </w:r>
      <w:r w:rsidR="008A6308">
        <w:t>antamisen jälkeen.</w:t>
      </w:r>
    </w:p>
    <w:p w14:paraId="50BD5DB9" w14:textId="77777777" w:rsidR="003A27D6" w:rsidRDefault="003A27D6"/>
    <w:p w14:paraId="2BEC6267" w14:textId="5E24E32F" w:rsidR="00BB1B18" w:rsidRPr="00FE7CE1" w:rsidRDefault="00BB1B18">
      <w:pPr>
        <w:rPr>
          <w:i/>
          <w:iCs/>
        </w:rPr>
      </w:pPr>
      <w:r>
        <w:rPr>
          <w:i/>
          <w:iCs/>
        </w:rPr>
        <w:t>Malarian estohoito</w:t>
      </w:r>
    </w:p>
    <w:p w14:paraId="72CF873F" w14:textId="77777777" w:rsidR="00BB1B18" w:rsidRDefault="00BB1B18"/>
    <w:p w14:paraId="0BC15036" w14:textId="3B722C2C" w:rsidR="003A27D6" w:rsidRDefault="008A6308">
      <w:r>
        <w:t xml:space="preserve">Aiemman CVD 103-HgR -pohjaisella rokotteella tehdyn tutkimuksen tulosten mukaan Vaxchoran aikaansaamat immuunivasteet ja suoja koleraa vastaan voivat jäädä heikommiksi, jos </w:t>
      </w:r>
      <w:r w:rsidR="00BB1B18">
        <w:t xml:space="preserve">tämä rokote </w:t>
      </w:r>
      <w:r>
        <w:t xml:space="preserve">annetaan samanaikaisesti klorokiinin kanssa. </w:t>
      </w:r>
      <w:r w:rsidR="00BB1B18">
        <w:t xml:space="preserve">Tämä rokote </w:t>
      </w:r>
      <w:r>
        <w:t>tulee antaa vähintään 10</w:t>
      </w:r>
      <w:r w:rsidR="0090449D">
        <w:t> </w:t>
      </w:r>
      <w:r>
        <w:t xml:space="preserve">vuorokautta ennen klorokiinilla toteutettavaa malarian estohoitoa. </w:t>
      </w:r>
      <w:r w:rsidR="00BB1B18">
        <w:t xml:space="preserve">Tämän rokotteen </w:t>
      </w:r>
      <w:r>
        <w:t>ja muiden malarialääkkeiden samanaikaisesta käytöstä ei ole tietoja.</w:t>
      </w:r>
    </w:p>
    <w:p w14:paraId="122EDE78" w14:textId="77777777" w:rsidR="003A27D6" w:rsidRDefault="003A27D6"/>
    <w:p w14:paraId="743B1B7A" w14:textId="301C9A5E" w:rsidR="00BB1B18" w:rsidRPr="00FE7CE1" w:rsidRDefault="00BB1B18">
      <w:pPr>
        <w:rPr>
          <w:i/>
          <w:iCs/>
        </w:rPr>
      </w:pPr>
      <w:r>
        <w:rPr>
          <w:i/>
          <w:iCs/>
        </w:rPr>
        <w:t>Ruoka ja juoma</w:t>
      </w:r>
    </w:p>
    <w:p w14:paraId="6825E354" w14:textId="77777777" w:rsidR="00BB1B18" w:rsidRDefault="00BB1B18"/>
    <w:p w14:paraId="2B195393" w14:textId="26155E64" w:rsidR="003A27D6" w:rsidRDefault="008A6308">
      <w:r>
        <w:lastRenderedPageBreak/>
        <w:t xml:space="preserve">Rokote on happolabiili, ja se annetaan yhdessä puskurin kanssa. Ruoan ja juoman nauttimista on vältettävä 60 minuuttia ennen </w:t>
      </w:r>
      <w:r w:rsidR="00BB1B18">
        <w:t xml:space="preserve">tämän rokotteen </w:t>
      </w:r>
      <w:r>
        <w:t>ottamista ja 60 minuuttia sen jälkeen, sillä ruoka ja juoma saattavat vaikuttaa puskurin suojatehoon.</w:t>
      </w:r>
    </w:p>
    <w:p w14:paraId="05A7E7CD" w14:textId="77777777" w:rsidR="003A27D6" w:rsidRDefault="003A27D6"/>
    <w:p w14:paraId="15745C32" w14:textId="77777777" w:rsidR="003A27D6" w:rsidRDefault="008A6308">
      <w:pPr>
        <w:pStyle w:val="Heading2"/>
      </w:pPr>
      <w:r>
        <w:t>4.6</w:t>
      </w:r>
      <w:r>
        <w:tab/>
        <w:t>Hedelmällisyys, raskaus ja imetys</w:t>
      </w:r>
    </w:p>
    <w:p w14:paraId="2C01B0E6" w14:textId="77777777" w:rsidR="003A27D6" w:rsidRDefault="003A27D6">
      <w:pPr>
        <w:keepNext/>
      </w:pPr>
    </w:p>
    <w:p w14:paraId="57EC2D03" w14:textId="77777777" w:rsidR="003A27D6" w:rsidRDefault="008A6308">
      <w:pPr>
        <w:pStyle w:val="HeadingUnderlined"/>
      </w:pPr>
      <w:r>
        <w:t>Raskaus</w:t>
      </w:r>
    </w:p>
    <w:p w14:paraId="1A87B48B" w14:textId="77777777" w:rsidR="003A27D6" w:rsidRDefault="003A27D6">
      <w:pPr>
        <w:keepNext/>
      </w:pPr>
    </w:p>
    <w:p w14:paraId="6325F3EA" w14:textId="1CD2E3F8" w:rsidR="003A27D6" w:rsidRDefault="008A6308">
      <w:r>
        <w:t>Vaxchoran käytöstä raskaana oleville naisille</w:t>
      </w:r>
      <w:r w:rsidR="00F35DBD">
        <w:t xml:space="preserve"> on vain vähän tietoja</w:t>
      </w:r>
      <w:r>
        <w:t>.</w:t>
      </w:r>
    </w:p>
    <w:p w14:paraId="420B336C" w14:textId="13E5AEF4" w:rsidR="003A27D6" w:rsidRDefault="00F35DBD">
      <w:r w:rsidRPr="009314A8">
        <w:t>Eläimillä tehdyistä tutkimu</w:t>
      </w:r>
      <w:r>
        <w:t>ksi</w:t>
      </w:r>
      <w:r w:rsidRPr="009314A8">
        <w:t>sta saadut tiedot eivät riitä lisääntymistoksisuuden selvittämiseen (ks. kohta</w:t>
      </w:r>
      <w:r>
        <w:t> </w:t>
      </w:r>
      <w:r w:rsidRPr="009314A8">
        <w:t>5.3).</w:t>
      </w:r>
    </w:p>
    <w:p w14:paraId="42C080CA" w14:textId="6D758EF2" w:rsidR="003A27D6" w:rsidRDefault="00F35DBD">
      <w:r>
        <w:t xml:space="preserve">Tätä rokotetta </w:t>
      </w:r>
      <w:r w:rsidR="008A6308">
        <w:t>saa käyttää raskauden aikana vain, jos sen mahdollinen hyöty äidille on mahdollisia (myös sikiöön kohdistuvia) riskejä suurempi.</w:t>
      </w:r>
    </w:p>
    <w:p w14:paraId="6E1994F4" w14:textId="77777777" w:rsidR="003A27D6" w:rsidRDefault="003A27D6"/>
    <w:p w14:paraId="66745118" w14:textId="77777777" w:rsidR="003A27D6" w:rsidRDefault="008A6308">
      <w:pPr>
        <w:pStyle w:val="HeadingUnderlined"/>
      </w:pPr>
      <w:r>
        <w:t>Imetys</w:t>
      </w:r>
    </w:p>
    <w:p w14:paraId="1757FAAF" w14:textId="77777777" w:rsidR="003A27D6" w:rsidRDefault="003A27D6">
      <w:pPr>
        <w:keepNext/>
      </w:pPr>
    </w:p>
    <w:p w14:paraId="2538D3CF" w14:textId="2E2FD3E6" w:rsidR="003A27D6" w:rsidRDefault="008A6308">
      <w:r>
        <w:t xml:space="preserve">Ei tiedetä, erittyykö Vaxchora </w:t>
      </w:r>
      <w:r w:rsidR="00F35DBD">
        <w:rPr>
          <w:color w:val="000000"/>
        </w:rPr>
        <w:t>ihmisillä äidinmaitoon</w:t>
      </w:r>
      <w:r>
        <w:t xml:space="preserve">. </w:t>
      </w:r>
      <w:r w:rsidR="00F35DBD">
        <w:rPr>
          <w:color w:val="000000"/>
        </w:rPr>
        <w:t>Imetettävään vauvaan</w:t>
      </w:r>
      <w:r w:rsidR="00F35DBD" w:rsidDel="00F35DBD">
        <w:t xml:space="preserve"> </w:t>
      </w:r>
      <w:r>
        <w:t xml:space="preserve">kohdistuvia riskejä ei voida </w:t>
      </w:r>
      <w:r w:rsidR="00F35DBD">
        <w:t>sulkea pois</w:t>
      </w:r>
      <w:r>
        <w:t>. On päätettävä</w:t>
      </w:r>
      <w:r w:rsidR="00F35DBD">
        <w:t>,</w:t>
      </w:r>
      <w:r>
        <w:t xml:space="preserve"> lopetetaanko rintaruokinta vai pidättäydytäänkö Vaxchora</w:t>
      </w:r>
      <w:r w:rsidR="00F35DBD">
        <w:t>n</w:t>
      </w:r>
      <w:r>
        <w:t xml:space="preserve"> antamisesta</w:t>
      </w:r>
      <w:r w:rsidR="00F35DBD">
        <w:t>,</w:t>
      </w:r>
      <w:r>
        <w:t xml:space="preserve"> ottaen huomioon </w:t>
      </w:r>
      <w:r w:rsidR="00F35DBD">
        <w:t>imetyksen</w:t>
      </w:r>
      <w:r>
        <w:t xml:space="preserve"> hyödyt lapselle ja Vaxchorasta koituvat hyödyt äidille.</w:t>
      </w:r>
    </w:p>
    <w:p w14:paraId="10226393" w14:textId="77777777" w:rsidR="003A27D6" w:rsidRDefault="003A27D6"/>
    <w:p w14:paraId="1252BACC" w14:textId="77777777" w:rsidR="003A27D6" w:rsidRDefault="008A6308">
      <w:pPr>
        <w:pStyle w:val="HeadingUnderlined"/>
      </w:pPr>
      <w:r>
        <w:t>Hedelmällisyys</w:t>
      </w:r>
    </w:p>
    <w:p w14:paraId="0AD4E706" w14:textId="77777777" w:rsidR="003A27D6" w:rsidRDefault="003A27D6">
      <w:pPr>
        <w:keepNext/>
      </w:pPr>
    </w:p>
    <w:p w14:paraId="24AF8C86" w14:textId="77777777" w:rsidR="003A27D6" w:rsidRDefault="008A6308">
      <w:r>
        <w:t>Tietoja Vaxchoran vaikutuksista ihmisten tai eläinten hedelmällisyyteen ei ole saatavilla.</w:t>
      </w:r>
    </w:p>
    <w:p w14:paraId="7DAEC51F" w14:textId="77777777" w:rsidR="003A27D6" w:rsidRDefault="003A27D6"/>
    <w:p w14:paraId="34CD2B4D" w14:textId="77777777" w:rsidR="003A27D6" w:rsidRDefault="008A6308">
      <w:pPr>
        <w:pStyle w:val="Heading2"/>
      </w:pPr>
      <w:r>
        <w:t>4.7</w:t>
      </w:r>
      <w:r>
        <w:tab/>
        <w:t>Vaikutus ajokykyyn ja koneidenkäyttökykyyn</w:t>
      </w:r>
    </w:p>
    <w:p w14:paraId="3E02F852" w14:textId="77777777" w:rsidR="003A27D6" w:rsidRDefault="003A27D6">
      <w:pPr>
        <w:keepNext/>
      </w:pPr>
    </w:p>
    <w:p w14:paraId="12FD4958" w14:textId="407BE31A" w:rsidR="003A27D6" w:rsidRDefault="008A6308">
      <w:r>
        <w:t>Vaxchoralla ei ole haitallista vaikutusta ajokykyyn ja koneidenkäyttökykyyn.</w:t>
      </w:r>
      <w:r w:rsidR="00F35DBD">
        <w:t xml:space="preserve"> Jotkin kohdassa 4.8 mainitut vaikutukset</w:t>
      </w:r>
      <w:r w:rsidR="00F44BD5">
        <w:t xml:space="preserve"> (esim. väsymys, heitehuimaus)</w:t>
      </w:r>
      <w:r w:rsidR="00F35DBD">
        <w:t xml:space="preserve"> saattavat kuitenkin vaikuttaa ajokykyyn ja koneidenkäyttökykyyn tilapäisesti.</w:t>
      </w:r>
    </w:p>
    <w:p w14:paraId="19F3697F" w14:textId="77777777" w:rsidR="003A27D6" w:rsidRDefault="003A27D6"/>
    <w:p w14:paraId="2A22ED47" w14:textId="77777777" w:rsidR="003A27D6" w:rsidRDefault="008A6308">
      <w:pPr>
        <w:pStyle w:val="Heading2"/>
      </w:pPr>
      <w:r>
        <w:t>4.8</w:t>
      </w:r>
      <w:r>
        <w:tab/>
        <w:t>Haittavaikutukset</w:t>
      </w:r>
    </w:p>
    <w:p w14:paraId="18F582DB" w14:textId="77777777" w:rsidR="003A27D6" w:rsidRDefault="003A27D6">
      <w:pPr>
        <w:keepNext/>
      </w:pPr>
    </w:p>
    <w:p w14:paraId="1DA9B8AB" w14:textId="77777777" w:rsidR="003A27D6" w:rsidRDefault="008A6308">
      <w:pPr>
        <w:pStyle w:val="HeadingUnderlined"/>
      </w:pPr>
      <w:r>
        <w:t>Turvallisuusprofiilin yhteenveto</w:t>
      </w:r>
    </w:p>
    <w:p w14:paraId="131E38F0" w14:textId="77777777" w:rsidR="003A27D6" w:rsidRDefault="003A27D6">
      <w:pPr>
        <w:keepNext/>
      </w:pPr>
    </w:p>
    <w:p w14:paraId="097B073D" w14:textId="2E440912" w:rsidR="003A27D6" w:rsidRDefault="008A6308">
      <w:r>
        <w:t>Yleisimmin raportoituja haittavaikutuksia Vaxchoran antamisen jälkeen ovat väsymys (30,2%), päänsärky (28,3%), vatsakipu (18,4%), pahoinvointi/oksentelu (17,</w:t>
      </w:r>
      <w:r w:rsidR="00F44BD5">
        <w:t>9</w:t>
      </w:r>
      <w:r w:rsidR="00671040">
        <w:t> </w:t>
      </w:r>
      <w:r>
        <w:t xml:space="preserve">%) ja </w:t>
      </w:r>
      <w:r w:rsidR="00F44BD5">
        <w:t xml:space="preserve">heikentynyt ruokahalu </w:t>
      </w:r>
      <w:r>
        <w:t>(15,7%).</w:t>
      </w:r>
    </w:p>
    <w:p w14:paraId="4FD15D8A" w14:textId="77777777" w:rsidR="003A27D6" w:rsidRDefault="003A27D6"/>
    <w:p w14:paraId="2DFE61AF" w14:textId="77777777" w:rsidR="003A27D6" w:rsidRDefault="008A6308">
      <w:pPr>
        <w:pStyle w:val="HeadingUnderlined"/>
      </w:pPr>
      <w:r>
        <w:t>Haittavaikutustaulukko</w:t>
      </w:r>
    </w:p>
    <w:p w14:paraId="12F6354B" w14:textId="77777777" w:rsidR="003A27D6" w:rsidRDefault="008A6308">
      <w:r>
        <w:t>Haittavaikutusten yleisyydet on luokiteltu seuraavasti: hyvin yleiset (≥ 1/10), yleiset (≥ 1/100, &lt; 1/10), melko harvinaiset (≥ 1/1 000, &lt; 1/100), harvinaiset (≥ 1/10 000, &lt; 1/1 000), hyvin harvinaiset (&lt; 1/10 000), tuntematon (koska saatavissa oleva tieto ei riitä esiintyvyyden arviointiin).</w:t>
      </w:r>
    </w:p>
    <w:p w14:paraId="0A673300" w14:textId="77777777" w:rsidR="003A27D6" w:rsidRDefault="003A27D6"/>
    <w:tbl>
      <w:tblPr>
        <w:tblW w:w="9077" w:type="dxa"/>
        <w:tblLook w:val="04A0" w:firstRow="1" w:lastRow="0" w:firstColumn="1" w:lastColumn="0" w:noHBand="0" w:noVBand="1"/>
      </w:tblPr>
      <w:tblGrid>
        <w:gridCol w:w="7139"/>
        <w:gridCol w:w="1938"/>
      </w:tblGrid>
      <w:tr w:rsidR="003A27D6" w14:paraId="08960FAA"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341C35AE" w14:textId="77777777" w:rsidR="003A27D6" w:rsidRDefault="008A6308">
            <w:pPr>
              <w:rPr>
                <w:rStyle w:val="Strong"/>
              </w:rPr>
            </w:pPr>
            <w:r>
              <w:rPr>
                <w:rStyle w:val="Strong"/>
              </w:rPr>
              <w:t>Haittavaikutukset</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39443445" w14:textId="77777777" w:rsidR="003A27D6" w:rsidRDefault="008A6308">
            <w:pPr>
              <w:rPr>
                <w:rStyle w:val="Strong"/>
              </w:rPr>
            </w:pPr>
            <w:r>
              <w:rPr>
                <w:rStyle w:val="Strong"/>
              </w:rPr>
              <w:t>Yleisyys</w:t>
            </w:r>
          </w:p>
        </w:tc>
      </w:tr>
      <w:tr w:rsidR="003A27D6" w14:paraId="5AF14AAF" w14:textId="77777777">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Pr>
          <w:p w14:paraId="7FE3A301" w14:textId="77777777" w:rsidR="003A27D6" w:rsidRDefault="008A6308">
            <w:pPr>
              <w:rPr>
                <w:rStyle w:val="Painotus"/>
              </w:rPr>
            </w:pPr>
            <w:r>
              <w:rPr>
                <w:rStyle w:val="Painotus"/>
              </w:rPr>
              <w:t>Aineenvaihdunta ja ravitsemus</w:t>
            </w:r>
          </w:p>
        </w:tc>
      </w:tr>
      <w:tr w:rsidR="003A27D6" w14:paraId="47A7CE60"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75CAF602" w14:textId="77777777" w:rsidR="003A27D6" w:rsidRDefault="008A6308">
            <w:r>
              <w:t>Heikentynyt ruokahalu</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064CB426" w14:textId="77777777" w:rsidR="003A27D6" w:rsidRDefault="008A6308">
            <w:r>
              <w:t>Hyvin yleinen</w:t>
            </w:r>
          </w:p>
        </w:tc>
      </w:tr>
      <w:tr w:rsidR="003A27D6" w14:paraId="5797DEF8" w14:textId="77777777">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Pr>
          <w:p w14:paraId="0BA5180A" w14:textId="77777777" w:rsidR="003A27D6" w:rsidRDefault="008A6308">
            <w:pPr>
              <w:rPr>
                <w:rStyle w:val="Painotus"/>
              </w:rPr>
            </w:pPr>
            <w:r>
              <w:rPr>
                <w:rStyle w:val="Painotus"/>
              </w:rPr>
              <w:t>Hermosto</w:t>
            </w:r>
          </w:p>
        </w:tc>
      </w:tr>
      <w:tr w:rsidR="003A27D6" w14:paraId="3D9BF260"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7851B7CB" w14:textId="77777777" w:rsidR="003A27D6" w:rsidRDefault="008A6308">
            <w:r>
              <w:t>Päänsärky</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7204CF91" w14:textId="77777777" w:rsidR="003A27D6" w:rsidRDefault="008A6308">
            <w:r>
              <w:t>Hyvin yleinen</w:t>
            </w:r>
          </w:p>
        </w:tc>
      </w:tr>
      <w:tr w:rsidR="003A27D6" w14:paraId="2CACDF0E"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22AE1ABA" w14:textId="77777777" w:rsidR="003A27D6" w:rsidRDefault="008A6308">
            <w:r>
              <w:t>Heitehuimaus</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0C4420D9" w14:textId="77777777" w:rsidR="003A27D6" w:rsidRDefault="008A6308">
            <w:r>
              <w:t>Melko harvinainen</w:t>
            </w:r>
          </w:p>
        </w:tc>
      </w:tr>
      <w:tr w:rsidR="003A27D6" w14:paraId="37EEF010" w14:textId="77777777">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Pr>
          <w:p w14:paraId="7EF5D4BA" w14:textId="77777777" w:rsidR="003A27D6" w:rsidRDefault="008A6308">
            <w:pPr>
              <w:rPr>
                <w:rStyle w:val="Painotus"/>
              </w:rPr>
            </w:pPr>
            <w:r>
              <w:rPr>
                <w:rStyle w:val="Painotus"/>
              </w:rPr>
              <w:t>Ruoansulatuselimistö</w:t>
            </w:r>
          </w:p>
        </w:tc>
      </w:tr>
      <w:tr w:rsidR="003A27D6" w14:paraId="1F26299D"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647C5F77" w14:textId="77777777" w:rsidR="003A27D6" w:rsidRDefault="008A6308">
            <w:r>
              <w:t>Vatsakipu, pahoinvointi/oksentelu</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12674747" w14:textId="77777777" w:rsidR="003A27D6" w:rsidRDefault="008A6308">
            <w:r>
              <w:t>Hyvin yleinen</w:t>
            </w:r>
          </w:p>
        </w:tc>
      </w:tr>
      <w:tr w:rsidR="003A27D6" w14:paraId="7AC782D1"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16173611" w14:textId="77777777" w:rsidR="003A27D6" w:rsidRDefault="008A6308">
            <w:r>
              <w:t>Ripuli</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1381EF56" w14:textId="77777777" w:rsidR="003A27D6" w:rsidRDefault="008A6308">
            <w:r>
              <w:t>Yleinen</w:t>
            </w:r>
          </w:p>
        </w:tc>
      </w:tr>
      <w:tr w:rsidR="003A27D6" w14:paraId="1A31DFFE"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52F27E31" w14:textId="77777777" w:rsidR="003A27D6" w:rsidRDefault="008A6308">
            <w:r>
              <w:t>Ilmavaivat, ummetus, vatsan turvotus, dyspepsia, poikkeavat ulosteet, suun kuivuminen, röyhtäily</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3BDFF7CA" w14:textId="77777777" w:rsidR="003A27D6" w:rsidRDefault="008A6308">
            <w:r>
              <w:t>Melko harvinainen</w:t>
            </w:r>
          </w:p>
        </w:tc>
      </w:tr>
      <w:tr w:rsidR="003A27D6" w14:paraId="4DC9D235" w14:textId="77777777">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Pr>
          <w:p w14:paraId="066AE46D" w14:textId="77777777" w:rsidR="003A27D6" w:rsidRDefault="008A6308">
            <w:r>
              <w:rPr>
                <w:rStyle w:val="Painotus"/>
              </w:rPr>
              <w:t>Iho ja ihonalainen kudos</w:t>
            </w:r>
          </w:p>
        </w:tc>
      </w:tr>
      <w:tr w:rsidR="003A27D6" w14:paraId="4C44F792"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52922653" w14:textId="77777777" w:rsidR="003A27D6" w:rsidRDefault="008A6308">
            <w:r>
              <w:t>Ihottuma</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4BD52DA5" w14:textId="77777777" w:rsidR="003A27D6" w:rsidRDefault="008A6308">
            <w:r>
              <w:t>Melko harvinainen</w:t>
            </w:r>
          </w:p>
        </w:tc>
      </w:tr>
      <w:tr w:rsidR="003A27D6" w14:paraId="3395AE29" w14:textId="77777777">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Pr>
          <w:p w14:paraId="0CDA73B5" w14:textId="77777777" w:rsidR="003A27D6" w:rsidRDefault="008A6308">
            <w:pPr>
              <w:rPr>
                <w:rStyle w:val="Painotus"/>
              </w:rPr>
            </w:pPr>
            <w:r>
              <w:rPr>
                <w:rStyle w:val="Painotus"/>
              </w:rPr>
              <w:t>Luusto, lihakset ja sidekudos</w:t>
            </w:r>
          </w:p>
        </w:tc>
      </w:tr>
      <w:tr w:rsidR="003A27D6" w14:paraId="0883ACB1"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104738B5" w14:textId="77777777" w:rsidR="003A27D6" w:rsidRDefault="008A6308">
            <w:r>
              <w:lastRenderedPageBreak/>
              <w:t>Nivelkipu</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17573B1E" w14:textId="77777777" w:rsidR="003A27D6" w:rsidRDefault="008A6308">
            <w:r>
              <w:t>Melko harvinainen</w:t>
            </w:r>
          </w:p>
        </w:tc>
      </w:tr>
      <w:tr w:rsidR="003A27D6" w14:paraId="4AF5B118"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3E84BE05" w14:textId="77777777" w:rsidR="003A27D6" w:rsidRDefault="008A6308">
            <w:r>
              <w:t>Vilunväristykset</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057A96BE" w14:textId="77777777" w:rsidR="003A27D6" w:rsidRDefault="008A6308">
            <w:r>
              <w:t>Harvinainen</w:t>
            </w:r>
          </w:p>
        </w:tc>
      </w:tr>
      <w:tr w:rsidR="003A27D6" w14:paraId="2D4C51C1" w14:textId="77777777">
        <w:tc>
          <w:tcPr>
            <w:tcW w:w="90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97B6CA" w14:textId="77777777" w:rsidR="003A27D6" w:rsidRDefault="008A6308">
            <w:pPr>
              <w:rPr>
                <w:rStyle w:val="Painotus"/>
              </w:rPr>
            </w:pPr>
            <w:r>
              <w:rPr>
                <w:rStyle w:val="Painotus"/>
              </w:rPr>
              <w:t>Yleisoireet ja antopaikassa todettavat haitat</w:t>
            </w:r>
          </w:p>
        </w:tc>
      </w:tr>
      <w:tr w:rsidR="003A27D6" w14:paraId="7227CD45"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63E921F1" w14:textId="77777777" w:rsidR="003A27D6" w:rsidRDefault="008A6308">
            <w:r>
              <w:t>Uupumus</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01C809AC" w14:textId="77777777" w:rsidR="003A27D6" w:rsidRDefault="008A6308">
            <w:r>
              <w:t>Hyvin yleinen</w:t>
            </w:r>
          </w:p>
        </w:tc>
      </w:tr>
      <w:tr w:rsidR="003A27D6" w14:paraId="04487582" w14:textId="77777777">
        <w:tc>
          <w:tcPr>
            <w:tcW w:w="7138" w:type="dxa"/>
            <w:tcBorders>
              <w:top w:val="single" w:sz="4" w:space="0" w:color="000000"/>
              <w:left w:val="single" w:sz="4" w:space="0" w:color="000000"/>
              <w:bottom w:val="single" w:sz="4" w:space="0" w:color="000000"/>
              <w:right w:val="single" w:sz="4" w:space="0" w:color="000000"/>
            </w:tcBorders>
            <w:shd w:val="clear" w:color="auto" w:fill="auto"/>
          </w:tcPr>
          <w:p w14:paraId="7BFABC56" w14:textId="77777777" w:rsidR="003A27D6" w:rsidRDefault="008A6308">
            <w:r>
              <w:t>Kuume</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5D183224" w14:textId="77777777" w:rsidR="003A27D6" w:rsidRDefault="008A6308">
            <w:r>
              <w:t>Melko harvinainen</w:t>
            </w:r>
          </w:p>
        </w:tc>
      </w:tr>
    </w:tbl>
    <w:p w14:paraId="6AD0BB50" w14:textId="77777777" w:rsidR="003A27D6" w:rsidRDefault="003A27D6"/>
    <w:p w14:paraId="64AEEA04" w14:textId="77777777" w:rsidR="003A27D6" w:rsidRDefault="008A6308">
      <w:pPr>
        <w:pStyle w:val="HeadingUnderlined"/>
      </w:pPr>
      <w:r>
        <w:t>Pediatriset potilaat</w:t>
      </w:r>
    </w:p>
    <w:p w14:paraId="25548255" w14:textId="031CCC10" w:rsidR="003A27D6" w:rsidRDefault="008A6308">
      <w:r>
        <w:t>Yksi kliininen tutkimus tehtiin 550</w:t>
      </w:r>
      <w:r w:rsidR="0002317A">
        <w:t> </w:t>
      </w:r>
      <w:r>
        <w:t>lapselle, jotka olivat iältään 2 – &lt; 18</w:t>
      </w:r>
      <w:r>
        <w:noBreakHyphen/>
        <w:t>vuotiaita. Tämän tutkimuksen tulosten perusteella lapsilla esiintyvien haittavaikutusten odotetaan olevan samantyyppisiä kuin aikuisilla. Jotkin haittavaikutukset olivat yleisempiä lapsilla kuin aikuisilla. Näitä olivat väsymys (35,7</w:t>
      </w:r>
      <w:r w:rsidR="00671040">
        <w:t> </w:t>
      </w:r>
      <w:r>
        <w:t>% vs. 30,2%), vatsakipu (27,8</w:t>
      </w:r>
      <w:r w:rsidR="00671040">
        <w:t> </w:t>
      </w:r>
      <w:r>
        <w:t>% vs. 18,4%), oksentelu (3,8</w:t>
      </w:r>
      <w:r w:rsidR="00671040">
        <w:t> </w:t>
      </w:r>
      <w:r>
        <w:t>% vs. 0,2</w:t>
      </w:r>
      <w:r w:rsidR="00671040">
        <w:t> </w:t>
      </w:r>
      <w:r>
        <w:t>%), heikentynyt ruokahalu (21,4</w:t>
      </w:r>
      <w:r w:rsidR="00671040">
        <w:t> </w:t>
      </w:r>
      <w:r>
        <w:t>% vs. 15,7%) ja kuume (2,4</w:t>
      </w:r>
      <w:r w:rsidR="00671040">
        <w:t> </w:t>
      </w:r>
      <w:r>
        <w:t>% vs. 0,8%).</w:t>
      </w:r>
    </w:p>
    <w:p w14:paraId="3618B96B" w14:textId="77777777" w:rsidR="003A27D6" w:rsidRDefault="003A27D6"/>
    <w:p w14:paraId="6D8DFCBC" w14:textId="77777777" w:rsidR="003A27D6" w:rsidRDefault="008A6308">
      <w:pPr>
        <w:pStyle w:val="HeadingUnderlined"/>
      </w:pPr>
      <w:r>
        <w:t>Epäillyistä haittavaikutuksista ilmoittaminen</w:t>
      </w:r>
    </w:p>
    <w:p w14:paraId="13C54699" w14:textId="39DA2066" w:rsidR="003355E1" w:rsidRDefault="008A6308">
      <w:r>
        <w:t>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w:t>
      </w:r>
      <w:r w:rsidR="00933B0E">
        <w:t>:</w:t>
      </w:r>
    </w:p>
    <w:p w14:paraId="7E7B0F93" w14:textId="77777777" w:rsidR="00C834FF" w:rsidRDefault="00C834FF"/>
    <w:p w14:paraId="1232259D" w14:textId="77777777" w:rsidR="003355E1" w:rsidRPr="00793111" w:rsidRDefault="003355E1" w:rsidP="003355E1">
      <w:pPr>
        <w:tabs>
          <w:tab w:val="left" w:pos="-720"/>
        </w:tabs>
        <w:rPr>
          <w:rFonts w:eastAsia="Calibri"/>
          <w:color w:val="1F497D"/>
          <w:lang w:val="it-IT"/>
        </w:rPr>
      </w:pPr>
      <w:r w:rsidRPr="00793111">
        <w:rPr>
          <w:rFonts w:eastAsia="Calibri"/>
          <w:lang w:val="it-IT"/>
        </w:rPr>
        <w:t>www-sivusto</w:t>
      </w:r>
      <w:r w:rsidRPr="00793111">
        <w:rPr>
          <w:rFonts w:eastAsia="Calibri"/>
          <w:noProof/>
          <w:lang w:val="it-IT"/>
        </w:rPr>
        <w:t xml:space="preserve">: </w:t>
      </w:r>
      <w:hyperlink r:id="rId11" w:history="1">
        <w:r w:rsidRPr="00793111">
          <w:rPr>
            <w:rFonts w:eastAsia="Calibri"/>
            <w:color w:val="0000FF"/>
            <w:u w:val="single"/>
            <w:lang w:val="it-IT"/>
          </w:rPr>
          <w:t>www.fimea.fi</w:t>
        </w:r>
      </w:hyperlink>
    </w:p>
    <w:p w14:paraId="28D9BD32" w14:textId="77777777" w:rsidR="003355E1" w:rsidRPr="004A6986" w:rsidRDefault="003355E1" w:rsidP="003355E1">
      <w:pPr>
        <w:tabs>
          <w:tab w:val="left" w:pos="-720"/>
        </w:tabs>
        <w:rPr>
          <w:rFonts w:eastAsia="Calibri"/>
          <w:noProof/>
        </w:rPr>
      </w:pPr>
      <w:r w:rsidRPr="004A6986">
        <w:rPr>
          <w:rFonts w:eastAsia="Calibri"/>
          <w:noProof/>
        </w:rPr>
        <w:t>Lääkealan turvallisuus- ja kehittämiskeskus Fimea</w:t>
      </w:r>
    </w:p>
    <w:p w14:paraId="443BF3BE" w14:textId="77777777" w:rsidR="003355E1" w:rsidRPr="00BB06F8" w:rsidRDefault="003355E1" w:rsidP="003355E1">
      <w:pPr>
        <w:tabs>
          <w:tab w:val="left" w:pos="-720"/>
        </w:tabs>
        <w:rPr>
          <w:rFonts w:eastAsia="Calibri"/>
          <w:noProof/>
        </w:rPr>
      </w:pPr>
      <w:r w:rsidRPr="00BB06F8">
        <w:rPr>
          <w:rFonts w:eastAsia="Calibri"/>
          <w:noProof/>
        </w:rPr>
        <w:t>Lääkkeiden haittavaikutusrekisteri</w:t>
      </w:r>
    </w:p>
    <w:p w14:paraId="4B028BED" w14:textId="77777777" w:rsidR="003355E1" w:rsidRPr="004A6986" w:rsidRDefault="003355E1" w:rsidP="003355E1">
      <w:pPr>
        <w:tabs>
          <w:tab w:val="left" w:pos="-720"/>
        </w:tabs>
        <w:rPr>
          <w:rFonts w:eastAsia="Calibri"/>
          <w:noProof/>
        </w:rPr>
      </w:pPr>
      <w:r w:rsidRPr="004A6986">
        <w:rPr>
          <w:rFonts w:eastAsia="Calibri"/>
          <w:noProof/>
        </w:rPr>
        <w:t>PL 55</w:t>
      </w:r>
    </w:p>
    <w:p w14:paraId="7B25A158" w14:textId="7B25B475" w:rsidR="003A27D6" w:rsidRPr="00C834FF" w:rsidRDefault="003355E1" w:rsidP="00C834FF">
      <w:pPr>
        <w:tabs>
          <w:tab w:val="left" w:pos="-720"/>
        </w:tabs>
        <w:rPr>
          <w:rFonts w:eastAsia="Calibri"/>
          <w:noProof/>
        </w:rPr>
      </w:pPr>
      <w:r w:rsidRPr="004A6986">
        <w:rPr>
          <w:rFonts w:eastAsia="Calibri"/>
          <w:noProof/>
        </w:rPr>
        <w:t>00034 FIMEA</w:t>
      </w:r>
    </w:p>
    <w:p w14:paraId="6DABA048" w14:textId="77777777" w:rsidR="003A27D6" w:rsidRDefault="003A27D6"/>
    <w:p w14:paraId="6C30D8F9" w14:textId="77777777" w:rsidR="003A27D6" w:rsidRDefault="008A6308">
      <w:pPr>
        <w:pStyle w:val="Heading2"/>
      </w:pPr>
      <w:r>
        <w:t>4.9</w:t>
      </w:r>
      <w:r>
        <w:tab/>
        <w:t>Yliannostus</w:t>
      </w:r>
    </w:p>
    <w:p w14:paraId="2900BB2D" w14:textId="77777777" w:rsidR="003A27D6" w:rsidRDefault="003A27D6">
      <w:pPr>
        <w:keepNext/>
      </w:pPr>
    </w:p>
    <w:p w14:paraId="1C19646C" w14:textId="77777777" w:rsidR="003A27D6" w:rsidRDefault="008A6308">
      <w:r>
        <w:t>On raportoitu tapauksia, joissa useita Vaxchora-annoksia annettiin usean viikon välein. Raportoidut haittavaikutukset olivat verrattavissa suositellun annoksen yhteydessä todettuihin haittavaikutuksiin.</w:t>
      </w:r>
    </w:p>
    <w:p w14:paraId="152E4A1F" w14:textId="77777777" w:rsidR="003A27D6" w:rsidRDefault="003A27D6"/>
    <w:p w14:paraId="2BDE344C" w14:textId="77777777" w:rsidR="003A27D6" w:rsidRDefault="003A27D6"/>
    <w:p w14:paraId="06890175" w14:textId="77777777" w:rsidR="003A27D6" w:rsidRDefault="008A6308">
      <w:pPr>
        <w:pStyle w:val="Heading1"/>
      </w:pPr>
      <w:r>
        <w:t>5.</w:t>
      </w:r>
      <w:r>
        <w:tab/>
        <w:t>FARMAKOLOGISET OMINAISUUDET</w:t>
      </w:r>
    </w:p>
    <w:p w14:paraId="5109A1AC" w14:textId="77777777" w:rsidR="003A27D6" w:rsidRDefault="003A27D6">
      <w:pPr>
        <w:keepNext/>
      </w:pPr>
    </w:p>
    <w:p w14:paraId="798C17DA" w14:textId="77777777" w:rsidR="003A27D6" w:rsidRDefault="008A6308">
      <w:pPr>
        <w:pStyle w:val="Heading2"/>
      </w:pPr>
      <w:r>
        <w:t>5.1</w:t>
      </w:r>
      <w:r>
        <w:tab/>
        <w:t>Farmakodynamiikka</w:t>
      </w:r>
    </w:p>
    <w:p w14:paraId="0E7BF445" w14:textId="77777777" w:rsidR="003A27D6" w:rsidRDefault="003A27D6">
      <w:pPr>
        <w:keepNext/>
      </w:pPr>
    </w:p>
    <w:p w14:paraId="4456A819" w14:textId="14E130CD" w:rsidR="003A27D6" w:rsidRDefault="008A6308">
      <w:r>
        <w:t xml:space="preserve">Farmakoterapeuttinen ryhmä: </w:t>
      </w:r>
      <w:r w:rsidR="000E24ED">
        <w:t>Rokotteet, kolerarokotteet</w:t>
      </w:r>
      <w:r>
        <w:t>, ATC-koodi: J07AE02</w:t>
      </w:r>
    </w:p>
    <w:p w14:paraId="4B7BA74A" w14:textId="77777777" w:rsidR="003A27D6" w:rsidRDefault="003A27D6"/>
    <w:p w14:paraId="61CDA469" w14:textId="77777777" w:rsidR="003A27D6" w:rsidRDefault="008A6308">
      <w:pPr>
        <w:pStyle w:val="HeadingUnderlined"/>
      </w:pPr>
      <w:r>
        <w:t>Vaikutusmekanismi</w:t>
      </w:r>
    </w:p>
    <w:p w14:paraId="29294AE1" w14:textId="679917A3" w:rsidR="003A27D6" w:rsidRDefault="008A6308">
      <w:r>
        <w:t>Vaxchora sisältää eläviä, heikennettyjä kolerabakteereja (</w:t>
      </w:r>
      <w:r>
        <w:rPr>
          <w:rStyle w:val="Painotus"/>
        </w:rPr>
        <w:t>V</w:t>
      </w:r>
      <w:r w:rsidR="000E24ED">
        <w:rPr>
          <w:rStyle w:val="Painotus"/>
        </w:rPr>
        <w:t>ibrio</w:t>
      </w:r>
      <w:r>
        <w:rPr>
          <w:rStyle w:val="Painotus"/>
        </w:rPr>
        <w:t xml:space="preserve"> cholerae</w:t>
      </w:r>
      <w:r>
        <w:t xml:space="preserve"> O1, klassinen Inaba-kanta CVD 103-HgR), jotka lisääntyvät rokotetun henkilön ruoansulatuskanavassa ja saavat aikaan vibriosidisen vasta-aine- ja B</w:t>
      </w:r>
      <w:r>
        <w:noBreakHyphen/>
        <w:t>muistisoluvasteen seerumiin. Immuunimekanismeja, jotka antavat suojan koleraa vastaan rokotuksen jälkeen, ei ole selvitetty, mutta vibriosidisten vasta-aineiden määrän suureneminen seerumissa 10</w:t>
      </w:r>
      <w:r w:rsidR="0002317A">
        <w:t> </w:t>
      </w:r>
      <w:r>
        <w:t xml:space="preserve">vuorokautta </w:t>
      </w:r>
      <w:r w:rsidR="000E24ED">
        <w:t>tämän rokotteen antamisen</w:t>
      </w:r>
      <w:r>
        <w:t xml:space="preserve"> jälkeen yhdistettiin suojaavaan vaikutukseen ihmisillä tehdyssä altistustutkimuksessa.</w:t>
      </w:r>
    </w:p>
    <w:p w14:paraId="302A6172" w14:textId="77777777" w:rsidR="003A27D6" w:rsidRDefault="003A27D6"/>
    <w:p w14:paraId="64E925BB" w14:textId="77777777" w:rsidR="003A27D6" w:rsidRDefault="008A6308">
      <w:pPr>
        <w:pStyle w:val="HeadingUnderlined"/>
      </w:pPr>
      <w:r>
        <w:t>Teho kolera-altistusta vastaan</w:t>
      </w:r>
    </w:p>
    <w:p w14:paraId="5F597689" w14:textId="601398F6" w:rsidR="003A27D6" w:rsidRDefault="008A6308">
      <w:r>
        <w:t>Vaxchoran teho koleraa vastaan osoitettiin ihmisillä tehdyssä altistustutkimuksessa. Tutkimukseen osallistuneiden 197 terveen vapaaehtoisen aikuisen henkilön keskimääräinen ikä oli 31 vuotta (vaihteluväli 18–45 vuotta, 62,9</w:t>
      </w:r>
      <w:r w:rsidR="00671040">
        <w:t> </w:t>
      </w:r>
      <w:r>
        <w:t>% miehiä, 37,1</w:t>
      </w:r>
      <w:r w:rsidR="00671040">
        <w:t> </w:t>
      </w:r>
      <w:r>
        <w:t xml:space="preserve">% naisia), ja </w:t>
      </w:r>
      <w:r w:rsidR="000E24ED">
        <w:t xml:space="preserve">rokotetta </w:t>
      </w:r>
      <w:r>
        <w:t xml:space="preserve">tai lumerokotetta saaneiden tutkittavien henkilöiden alaryhmä altistettiin eläville </w:t>
      </w:r>
      <w:r>
        <w:rPr>
          <w:rStyle w:val="Painotus"/>
        </w:rPr>
        <w:t>V</w:t>
      </w:r>
      <w:r w:rsidR="000E24ED">
        <w:rPr>
          <w:rStyle w:val="Painotus"/>
        </w:rPr>
        <w:t>ibrio</w:t>
      </w:r>
      <w:r>
        <w:t> </w:t>
      </w:r>
      <w:r>
        <w:rPr>
          <w:rStyle w:val="Painotus"/>
        </w:rPr>
        <w:t>cholerae</w:t>
      </w:r>
      <w:r>
        <w:t xml:space="preserve"> -bakteereille 10</w:t>
      </w:r>
      <w:r w:rsidR="0002317A">
        <w:t> </w:t>
      </w:r>
      <w:r>
        <w:t>vuorokautta rokotuksen jälkeen (n</w:t>
      </w:r>
      <w:r w:rsidR="00B81B4C">
        <w:t> </w:t>
      </w:r>
      <w:r>
        <w:t>=</w:t>
      </w:r>
      <w:r w:rsidR="00B81B4C">
        <w:t> </w:t>
      </w:r>
      <w:r>
        <w:t>68) tai 3 kuukautta rokotuksen jälkeen (n</w:t>
      </w:r>
      <w:r w:rsidR="00B81B4C">
        <w:t> </w:t>
      </w:r>
      <w:r>
        <w:t>=</w:t>
      </w:r>
      <w:r w:rsidR="00B81B4C">
        <w:t> </w:t>
      </w:r>
      <w:r>
        <w:t>66). Suojateho keskivaikeaa tai vaikeaa ripulia vastaan esitetään taulukossa 1.</w:t>
      </w:r>
    </w:p>
    <w:p w14:paraId="06254C6D" w14:textId="77777777" w:rsidR="003A27D6" w:rsidRDefault="003A27D6"/>
    <w:p w14:paraId="5FF19F3A" w14:textId="30B3FEB4" w:rsidR="003A27D6" w:rsidRDefault="008A6308">
      <w:r>
        <w:t>Henkilöillä, joiden veriryhmä oli O, suojateho keskivaikeaa tai vaikeaa ripulia vastaan oli 10</w:t>
      </w:r>
      <w:r w:rsidR="00D272F5">
        <w:t> </w:t>
      </w:r>
      <w:r>
        <w:t>vuorokautta rokotuksesta altistuneiden henkilöiden ryhmässä (n</w:t>
      </w:r>
      <w:r w:rsidR="00B81B4C">
        <w:t> </w:t>
      </w:r>
      <w:r>
        <w:t>=</w:t>
      </w:r>
      <w:r w:rsidR="00B81B4C">
        <w:t> </w:t>
      </w:r>
      <w:r>
        <w:t xml:space="preserve">19) </w:t>
      </w:r>
      <w:r w:rsidR="000E24ED">
        <w:t>84,8</w:t>
      </w:r>
      <w:r w:rsidR="00671040">
        <w:t> </w:t>
      </w:r>
      <w:r>
        <w:t>% ja 3 kuukautta rokotuksesta altistuneiden henkilöiden ryhmässä (n</w:t>
      </w:r>
      <w:r w:rsidR="00B81B4C">
        <w:t> </w:t>
      </w:r>
      <w:r>
        <w:t>=</w:t>
      </w:r>
      <w:r w:rsidR="00B81B4C">
        <w:t> </w:t>
      </w:r>
      <w:r>
        <w:t xml:space="preserve">20) </w:t>
      </w:r>
      <w:r w:rsidR="000E24ED">
        <w:t>78,4</w:t>
      </w:r>
      <w:r w:rsidR="00671040">
        <w:t> </w:t>
      </w:r>
      <w:r>
        <w:t>%.</w:t>
      </w:r>
    </w:p>
    <w:p w14:paraId="537665A9" w14:textId="77777777" w:rsidR="003A27D6" w:rsidRDefault="003A27D6"/>
    <w:p w14:paraId="0026EC53" w14:textId="0469F617" w:rsidR="003A27D6" w:rsidRDefault="008A6308">
      <w:pPr>
        <w:pStyle w:val="TableTitle"/>
        <w:ind w:left="1276" w:hanging="1276"/>
      </w:pPr>
      <w:r>
        <w:lastRenderedPageBreak/>
        <w:t>Taulukko 1: Suojateho keskivaikean tai vaikean ripulin ehkäisyssä 10</w:t>
      </w:r>
      <w:r w:rsidR="0002317A">
        <w:t> </w:t>
      </w:r>
      <w:r>
        <w:t xml:space="preserve">vuorokautta ja 3 kuukautta rokotuksesta tapahtuneen </w:t>
      </w:r>
      <w:r>
        <w:rPr>
          <w:rStyle w:val="Painotus"/>
        </w:rPr>
        <w:t>V</w:t>
      </w:r>
      <w:r w:rsidR="000E24ED">
        <w:rPr>
          <w:rStyle w:val="Painotus"/>
        </w:rPr>
        <w:t>ibrio</w:t>
      </w:r>
      <w:r>
        <w:t> </w:t>
      </w:r>
      <w:r>
        <w:rPr>
          <w:rStyle w:val="Painotus"/>
        </w:rPr>
        <w:t>cholerae</w:t>
      </w:r>
      <w:r>
        <w:t xml:space="preserve"> O1 El Tor Inaba -altistuksen jälkeen (hoitoaikeen mukainen populaatio)</w:t>
      </w:r>
    </w:p>
    <w:p w14:paraId="7044DD27" w14:textId="77777777" w:rsidR="003A27D6" w:rsidRDefault="003A27D6">
      <w:pPr>
        <w:keepNext/>
      </w:pPr>
    </w:p>
    <w:tbl>
      <w:tblPr>
        <w:tblW w:w="9303" w:type="dxa"/>
        <w:tblCellMar>
          <w:bottom w:w="113" w:type="dxa"/>
        </w:tblCellMar>
        <w:tblLook w:val="04A0" w:firstRow="1" w:lastRow="0" w:firstColumn="1" w:lastColumn="0" w:noHBand="0" w:noVBand="1"/>
      </w:tblPr>
      <w:tblGrid>
        <w:gridCol w:w="2326"/>
        <w:gridCol w:w="2326"/>
        <w:gridCol w:w="2326"/>
        <w:gridCol w:w="2325"/>
      </w:tblGrid>
      <w:tr w:rsidR="003A27D6" w:rsidRPr="00373BF9" w14:paraId="0AAF7F2A" w14:textId="77777777">
        <w:tc>
          <w:tcPr>
            <w:tcW w:w="2325" w:type="dxa"/>
            <w:tcBorders>
              <w:top w:val="single" w:sz="12" w:space="0" w:color="000000"/>
              <w:left w:val="single" w:sz="12" w:space="0" w:color="000000"/>
              <w:bottom w:val="single" w:sz="12" w:space="0" w:color="000000"/>
            </w:tcBorders>
            <w:shd w:val="clear" w:color="auto" w:fill="auto"/>
            <w:vAlign w:val="bottom"/>
          </w:tcPr>
          <w:p w14:paraId="1CE5196F" w14:textId="77777777" w:rsidR="003A27D6" w:rsidRPr="00373BF9" w:rsidRDefault="008A6308">
            <w:pPr>
              <w:pStyle w:val="normal10pt"/>
              <w:keepNext/>
              <w:rPr>
                <w:rStyle w:val="Strong"/>
                <w:sz w:val="22"/>
              </w:rPr>
            </w:pPr>
            <w:r w:rsidRPr="00FE7CE1">
              <w:rPr>
                <w:rStyle w:val="Strong"/>
                <w:sz w:val="22"/>
              </w:rPr>
              <w:t>Parametri</w:t>
            </w:r>
          </w:p>
        </w:tc>
        <w:tc>
          <w:tcPr>
            <w:tcW w:w="2326" w:type="dxa"/>
            <w:tcBorders>
              <w:top w:val="single" w:sz="12" w:space="0" w:color="000000"/>
              <w:bottom w:val="single" w:sz="12" w:space="0" w:color="000000"/>
            </w:tcBorders>
            <w:shd w:val="clear" w:color="auto" w:fill="auto"/>
            <w:vAlign w:val="bottom"/>
          </w:tcPr>
          <w:p w14:paraId="1C0D675B" w14:textId="7012906B" w:rsidR="003A27D6" w:rsidRPr="00FE7CE1" w:rsidRDefault="008A6308">
            <w:pPr>
              <w:pStyle w:val="normal10pt"/>
              <w:jc w:val="center"/>
              <w:rPr>
                <w:rStyle w:val="Strong"/>
                <w:sz w:val="22"/>
              </w:rPr>
            </w:pPr>
            <w:r w:rsidRPr="00FE7CE1">
              <w:rPr>
                <w:rStyle w:val="Strong"/>
                <w:sz w:val="22"/>
              </w:rPr>
              <w:t>Vaxchora, altistus 10</w:t>
            </w:r>
            <w:r w:rsidR="0002317A" w:rsidRPr="00FE7CE1">
              <w:rPr>
                <w:rStyle w:val="Strong"/>
                <w:sz w:val="22"/>
              </w:rPr>
              <w:t> </w:t>
            </w:r>
            <w:r w:rsidRPr="00FE7CE1">
              <w:rPr>
                <w:rStyle w:val="Strong"/>
                <w:sz w:val="22"/>
              </w:rPr>
              <w:t>vuorokautta rokotuksesta</w:t>
            </w:r>
          </w:p>
          <w:p w14:paraId="4942D218" w14:textId="471277C9" w:rsidR="003A27D6" w:rsidRPr="00FE7CE1" w:rsidRDefault="008A6308">
            <w:pPr>
              <w:pStyle w:val="normal10pt"/>
              <w:jc w:val="center"/>
              <w:rPr>
                <w:sz w:val="22"/>
              </w:rPr>
            </w:pPr>
            <w:r w:rsidRPr="00FE7CE1">
              <w:rPr>
                <w:sz w:val="22"/>
              </w:rPr>
              <w:t>N</w:t>
            </w:r>
            <w:r w:rsidR="00B81B4C">
              <w:rPr>
                <w:sz w:val="22"/>
              </w:rPr>
              <w:t> </w:t>
            </w:r>
            <w:r w:rsidRPr="00FE7CE1">
              <w:rPr>
                <w:sz w:val="22"/>
              </w:rPr>
              <w:t>=</w:t>
            </w:r>
            <w:r w:rsidR="00B81B4C">
              <w:rPr>
                <w:sz w:val="22"/>
              </w:rPr>
              <w:t> </w:t>
            </w:r>
            <w:r w:rsidRPr="00FE7CE1">
              <w:rPr>
                <w:sz w:val="22"/>
              </w:rPr>
              <w:t>35</w:t>
            </w:r>
          </w:p>
        </w:tc>
        <w:tc>
          <w:tcPr>
            <w:tcW w:w="2326" w:type="dxa"/>
            <w:tcBorders>
              <w:top w:val="single" w:sz="12" w:space="0" w:color="000000"/>
              <w:bottom w:val="single" w:sz="12" w:space="0" w:color="000000"/>
            </w:tcBorders>
            <w:shd w:val="clear" w:color="auto" w:fill="auto"/>
            <w:vAlign w:val="bottom"/>
          </w:tcPr>
          <w:p w14:paraId="2382B9DD" w14:textId="77777777" w:rsidR="003A27D6" w:rsidRPr="00FE7CE1" w:rsidRDefault="008A6308">
            <w:pPr>
              <w:pStyle w:val="normal10pt"/>
              <w:jc w:val="center"/>
              <w:rPr>
                <w:rStyle w:val="Strong"/>
                <w:sz w:val="22"/>
              </w:rPr>
            </w:pPr>
            <w:r w:rsidRPr="00FE7CE1">
              <w:rPr>
                <w:rStyle w:val="Strong"/>
                <w:sz w:val="22"/>
              </w:rPr>
              <w:t>Vaxchora, altistus 3 kuukautta rokotuksesta</w:t>
            </w:r>
          </w:p>
          <w:p w14:paraId="69211046" w14:textId="2A8A2FAA" w:rsidR="003A27D6" w:rsidRPr="00FE7CE1" w:rsidRDefault="008A6308">
            <w:pPr>
              <w:pStyle w:val="normal10pt"/>
              <w:jc w:val="center"/>
              <w:rPr>
                <w:sz w:val="22"/>
              </w:rPr>
            </w:pPr>
            <w:r w:rsidRPr="00FE7CE1">
              <w:rPr>
                <w:sz w:val="22"/>
              </w:rPr>
              <w:t>N</w:t>
            </w:r>
            <w:r w:rsidR="00B81B4C">
              <w:rPr>
                <w:sz w:val="22"/>
              </w:rPr>
              <w:t> </w:t>
            </w:r>
            <w:r w:rsidRPr="00FE7CE1">
              <w:rPr>
                <w:sz w:val="22"/>
              </w:rPr>
              <w:t>=</w:t>
            </w:r>
            <w:r w:rsidR="00B81B4C">
              <w:rPr>
                <w:sz w:val="22"/>
              </w:rPr>
              <w:t> </w:t>
            </w:r>
            <w:r w:rsidRPr="00FE7CE1">
              <w:rPr>
                <w:sz w:val="22"/>
              </w:rPr>
              <w:t>33</w:t>
            </w:r>
          </w:p>
        </w:tc>
        <w:tc>
          <w:tcPr>
            <w:tcW w:w="2325" w:type="dxa"/>
            <w:tcBorders>
              <w:top w:val="single" w:sz="12" w:space="0" w:color="000000"/>
              <w:bottom w:val="single" w:sz="12" w:space="0" w:color="000000"/>
              <w:right w:val="single" w:sz="12" w:space="0" w:color="000000"/>
            </w:tcBorders>
            <w:shd w:val="clear" w:color="auto" w:fill="auto"/>
            <w:vAlign w:val="bottom"/>
          </w:tcPr>
          <w:p w14:paraId="347A4817" w14:textId="133B3E54" w:rsidR="003A27D6" w:rsidRPr="00FE7CE1" w:rsidRDefault="008A6308">
            <w:pPr>
              <w:pStyle w:val="normal10pt"/>
              <w:jc w:val="center"/>
              <w:rPr>
                <w:rStyle w:val="Strong"/>
                <w:sz w:val="22"/>
              </w:rPr>
            </w:pPr>
            <w:r w:rsidRPr="00FE7CE1">
              <w:rPr>
                <w:rStyle w:val="Strong"/>
                <w:sz w:val="22"/>
              </w:rPr>
              <w:t>Lumerokote, yhdistetty altistus 10</w:t>
            </w:r>
            <w:r w:rsidR="0002317A" w:rsidRPr="00FE7CE1">
              <w:rPr>
                <w:rStyle w:val="Strong"/>
                <w:sz w:val="22"/>
              </w:rPr>
              <w:t> </w:t>
            </w:r>
            <w:r w:rsidRPr="00FE7CE1">
              <w:rPr>
                <w:rStyle w:val="Strong"/>
                <w:sz w:val="22"/>
              </w:rPr>
              <w:t>vuorokautta tai 3 kuukautta rokotuksesta</w:t>
            </w:r>
          </w:p>
          <w:p w14:paraId="522C5B18" w14:textId="125357D7" w:rsidR="003A27D6" w:rsidRPr="00FE7CE1" w:rsidRDefault="008A6308">
            <w:pPr>
              <w:pStyle w:val="normal10pt"/>
              <w:jc w:val="center"/>
              <w:rPr>
                <w:sz w:val="22"/>
              </w:rPr>
            </w:pPr>
            <w:r w:rsidRPr="00FE7CE1">
              <w:rPr>
                <w:sz w:val="22"/>
              </w:rPr>
              <w:t>N</w:t>
            </w:r>
            <w:r w:rsidR="00B81B4C">
              <w:rPr>
                <w:sz w:val="22"/>
              </w:rPr>
              <w:t> </w:t>
            </w:r>
            <w:r w:rsidRPr="00FE7CE1">
              <w:rPr>
                <w:sz w:val="22"/>
              </w:rPr>
              <w:t>=</w:t>
            </w:r>
            <w:r w:rsidR="00B81B4C">
              <w:rPr>
                <w:sz w:val="22"/>
              </w:rPr>
              <w:t> </w:t>
            </w:r>
            <w:r w:rsidRPr="00FE7CE1">
              <w:rPr>
                <w:sz w:val="22"/>
              </w:rPr>
              <w:t>66</w:t>
            </w:r>
          </w:p>
        </w:tc>
      </w:tr>
      <w:tr w:rsidR="003A27D6" w:rsidRPr="00373BF9" w14:paraId="76658D62" w14:textId="77777777">
        <w:tc>
          <w:tcPr>
            <w:tcW w:w="2325" w:type="dxa"/>
            <w:tcBorders>
              <w:top w:val="single" w:sz="12" w:space="0" w:color="000000"/>
              <w:left w:val="single" w:sz="12" w:space="0" w:color="000000"/>
            </w:tcBorders>
            <w:shd w:val="clear" w:color="auto" w:fill="auto"/>
          </w:tcPr>
          <w:p w14:paraId="09AE20C3" w14:textId="77777777" w:rsidR="003A27D6" w:rsidRPr="00FE7CE1" w:rsidRDefault="008A6308">
            <w:pPr>
              <w:pStyle w:val="normal10pt"/>
              <w:keepNext/>
              <w:rPr>
                <w:sz w:val="22"/>
              </w:rPr>
            </w:pPr>
            <w:r w:rsidRPr="00FE7CE1">
              <w:rPr>
                <w:sz w:val="22"/>
              </w:rPr>
              <w:t>Niiden tutkittavien lukumäärä, joilla esiintyi keskivaikeaa tai vaikeaa ripulia (tapausten prosenttiosuus)</w:t>
            </w:r>
          </w:p>
        </w:tc>
        <w:tc>
          <w:tcPr>
            <w:tcW w:w="2326" w:type="dxa"/>
            <w:tcBorders>
              <w:top w:val="single" w:sz="12" w:space="0" w:color="000000"/>
            </w:tcBorders>
            <w:shd w:val="clear" w:color="auto" w:fill="auto"/>
          </w:tcPr>
          <w:p w14:paraId="782B9CA6" w14:textId="0F624E48" w:rsidR="003A27D6" w:rsidRPr="00FE7CE1" w:rsidRDefault="008A6308">
            <w:pPr>
              <w:pStyle w:val="normal10pt"/>
              <w:jc w:val="center"/>
              <w:rPr>
                <w:sz w:val="22"/>
              </w:rPr>
            </w:pPr>
            <w:r w:rsidRPr="00FE7CE1">
              <w:rPr>
                <w:sz w:val="22"/>
              </w:rPr>
              <w:t>2 (5,7</w:t>
            </w:r>
            <w:r w:rsidR="00671040" w:rsidRPr="00FE7CE1">
              <w:rPr>
                <w:sz w:val="22"/>
              </w:rPr>
              <w:t> </w:t>
            </w:r>
            <w:r w:rsidRPr="00FE7CE1">
              <w:rPr>
                <w:sz w:val="22"/>
              </w:rPr>
              <w:t>%)</w:t>
            </w:r>
          </w:p>
        </w:tc>
        <w:tc>
          <w:tcPr>
            <w:tcW w:w="2326" w:type="dxa"/>
            <w:tcBorders>
              <w:top w:val="single" w:sz="12" w:space="0" w:color="000000"/>
            </w:tcBorders>
            <w:shd w:val="clear" w:color="auto" w:fill="auto"/>
          </w:tcPr>
          <w:p w14:paraId="3C2574E8" w14:textId="2C8A9CEC" w:rsidR="003A27D6" w:rsidRPr="00FE7CE1" w:rsidRDefault="008A6308">
            <w:pPr>
              <w:pStyle w:val="normal10pt"/>
              <w:jc w:val="center"/>
              <w:rPr>
                <w:sz w:val="22"/>
              </w:rPr>
            </w:pPr>
            <w:r w:rsidRPr="00FE7CE1">
              <w:rPr>
                <w:sz w:val="22"/>
              </w:rPr>
              <w:t>4 (12,1</w:t>
            </w:r>
            <w:r w:rsidR="00671040" w:rsidRPr="00FE7CE1">
              <w:rPr>
                <w:sz w:val="22"/>
              </w:rPr>
              <w:t> </w:t>
            </w:r>
            <w:r w:rsidRPr="00FE7CE1">
              <w:rPr>
                <w:sz w:val="22"/>
              </w:rPr>
              <w:t>%)</w:t>
            </w:r>
          </w:p>
        </w:tc>
        <w:tc>
          <w:tcPr>
            <w:tcW w:w="2325" w:type="dxa"/>
            <w:tcBorders>
              <w:top w:val="single" w:sz="12" w:space="0" w:color="000000"/>
              <w:right w:val="single" w:sz="12" w:space="0" w:color="000000"/>
            </w:tcBorders>
            <w:shd w:val="clear" w:color="auto" w:fill="auto"/>
          </w:tcPr>
          <w:p w14:paraId="0402B1A4" w14:textId="77392492" w:rsidR="003A27D6" w:rsidRPr="00FE7CE1" w:rsidRDefault="008A6308">
            <w:pPr>
              <w:pStyle w:val="normal10pt"/>
              <w:jc w:val="center"/>
              <w:rPr>
                <w:sz w:val="22"/>
              </w:rPr>
            </w:pPr>
            <w:r w:rsidRPr="00FE7CE1">
              <w:rPr>
                <w:sz w:val="22"/>
              </w:rPr>
              <w:t>39 (59,1</w:t>
            </w:r>
            <w:r w:rsidR="00671040" w:rsidRPr="00FE7CE1">
              <w:rPr>
                <w:sz w:val="22"/>
              </w:rPr>
              <w:t> </w:t>
            </w:r>
            <w:r w:rsidRPr="00FE7CE1">
              <w:rPr>
                <w:sz w:val="22"/>
              </w:rPr>
              <w:t>%)</w:t>
            </w:r>
          </w:p>
        </w:tc>
      </w:tr>
      <w:tr w:rsidR="003A27D6" w:rsidRPr="00373BF9" w14:paraId="467F8D60" w14:textId="77777777">
        <w:tc>
          <w:tcPr>
            <w:tcW w:w="2325" w:type="dxa"/>
            <w:tcBorders>
              <w:left w:val="single" w:sz="12" w:space="0" w:color="000000"/>
              <w:bottom w:val="single" w:sz="12" w:space="0" w:color="000000"/>
            </w:tcBorders>
            <w:shd w:val="clear" w:color="auto" w:fill="auto"/>
          </w:tcPr>
          <w:p w14:paraId="30EDDA45" w14:textId="77777777" w:rsidR="003A27D6" w:rsidRPr="00FE7CE1" w:rsidRDefault="008A6308">
            <w:pPr>
              <w:pStyle w:val="normal10pt"/>
              <w:rPr>
                <w:sz w:val="22"/>
              </w:rPr>
            </w:pPr>
            <w:r w:rsidRPr="00FE7CE1">
              <w:rPr>
                <w:sz w:val="22"/>
              </w:rPr>
              <w:t>Suojateho, %</w:t>
            </w:r>
          </w:p>
          <w:p w14:paraId="2FDB51AC" w14:textId="7E4C70F5" w:rsidR="003A27D6" w:rsidRPr="00FE7CE1" w:rsidRDefault="008A6308">
            <w:pPr>
              <w:pStyle w:val="normal10pt"/>
              <w:rPr>
                <w:sz w:val="22"/>
              </w:rPr>
            </w:pPr>
            <w:r w:rsidRPr="00FE7CE1">
              <w:rPr>
                <w:sz w:val="22"/>
              </w:rPr>
              <w:t>[95</w:t>
            </w:r>
            <w:r w:rsidR="00671040" w:rsidRPr="00FE7CE1">
              <w:rPr>
                <w:sz w:val="22"/>
              </w:rPr>
              <w:t> </w:t>
            </w:r>
            <w:r w:rsidRPr="00FE7CE1">
              <w:rPr>
                <w:sz w:val="22"/>
              </w:rPr>
              <w:t>%:n luottamusväli]</w:t>
            </w:r>
          </w:p>
        </w:tc>
        <w:tc>
          <w:tcPr>
            <w:tcW w:w="2326" w:type="dxa"/>
            <w:tcBorders>
              <w:bottom w:val="single" w:sz="12" w:space="0" w:color="000000"/>
            </w:tcBorders>
            <w:shd w:val="clear" w:color="auto" w:fill="auto"/>
          </w:tcPr>
          <w:p w14:paraId="0BD90DB4" w14:textId="20DCB555" w:rsidR="003A27D6" w:rsidRPr="00FE7CE1" w:rsidRDefault="008A6308">
            <w:pPr>
              <w:pStyle w:val="normal10pt"/>
              <w:jc w:val="center"/>
              <w:rPr>
                <w:sz w:val="22"/>
              </w:rPr>
            </w:pPr>
            <w:r w:rsidRPr="00FE7CE1">
              <w:rPr>
                <w:sz w:val="22"/>
              </w:rPr>
              <w:t>90,3</w:t>
            </w:r>
            <w:r w:rsidR="00671040" w:rsidRPr="00FE7CE1">
              <w:rPr>
                <w:sz w:val="22"/>
              </w:rPr>
              <w:t> </w:t>
            </w:r>
            <w:r w:rsidRPr="00FE7CE1">
              <w:rPr>
                <w:sz w:val="22"/>
              </w:rPr>
              <w:t>%</w:t>
            </w:r>
          </w:p>
          <w:p w14:paraId="20EF5A2E" w14:textId="5A6ED699" w:rsidR="003A27D6" w:rsidRPr="00FE7CE1" w:rsidRDefault="008A6308">
            <w:pPr>
              <w:pStyle w:val="normal10pt"/>
              <w:jc w:val="center"/>
              <w:rPr>
                <w:sz w:val="22"/>
              </w:rPr>
            </w:pPr>
            <w:r w:rsidRPr="00FE7CE1">
              <w:rPr>
                <w:sz w:val="22"/>
              </w:rPr>
              <w:t>[62,7</w:t>
            </w:r>
            <w:r w:rsidR="00671040" w:rsidRPr="00FE7CE1">
              <w:rPr>
                <w:sz w:val="22"/>
              </w:rPr>
              <w:t> </w:t>
            </w:r>
            <w:r w:rsidRPr="00FE7CE1">
              <w:rPr>
                <w:sz w:val="22"/>
              </w:rPr>
              <w:t>%; 100,0</w:t>
            </w:r>
            <w:r w:rsidR="00671040" w:rsidRPr="00FE7CE1">
              <w:rPr>
                <w:sz w:val="22"/>
              </w:rPr>
              <w:t> </w:t>
            </w:r>
            <w:r w:rsidRPr="00FE7CE1">
              <w:rPr>
                <w:sz w:val="22"/>
              </w:rPr>
              <w:t>%]</w:t>
            </w:r>
          </w:p>
        </w:tc>
        <w:tc>
          <w:tcPr>
            <w:tcW w:w="2326" w:type="dxa"/>
            <w:tcBorders>
              <w:bottom w:val="single" w:sz="12" w:space="0" w:color="000000"/>
            </w:tcBorders>
            <w:shd w:val="clear" w:color="auto" w:fill="auto"/>
          </w:tcPr>
          <w:p w14:paraId="19635B7F" w14:textId="2F774C3A" w:rsidR="003A27D6" w:rsidRPr="00FE7CE1" w:rsidRDefault="008A6308">
            <w:pPr>
              <w:pStyle w:val="normal10pt"/>
              <w:jc w:val="center"/>
              <w:rPr>
                <w:sz w:val="22"/>
              </w:rPr>
            </w:pPr>
            <w:r w:rsidRPr="00FE7CE1">
              <w:rPr>
                <w:sz w:val="22"/>
              </w:rPr>
              <w:t>79,5</w:t>
            </w:r>
            <w:r w:rsidR="00671040" w:rsidRPr="00FE7CE1">
              <w:rPr>
                <w:sz w:val="22"/>
              </w:rPr>
              <w:t> </w:t>
            </w:r>
            <w:r w:rsidRPr="00FE7CE1">
              <w:rPr>
                <w:sz w:val="22"/>
              </w:rPr>
              <w:t>%</w:t>
            </w:r>
          </w:p>
          <w:p w14:paraId="13B9E73D" w14:textId="560213A3" w:rsidR="003A27D6" w:rsidRPr="00FE7CE1" w:rsidRDefault="008A6308">
            <w:pPr>
              <w:pStyle w:val="normal10pt"/>
              <w:jc w:val="center"/>
              <w:rPr>
                <w:sz w:val="22"/>
              </w:rPr>
            </w:pPr>
            <w:r w:rsidRPr="00FE7CE1">
              <w:rPr>
                <w:sz w:val="22"/>
              </w:rPr>
              <w:t>[49,9</w:t>
            </w:r>
            <w:r w:rsidR="00671040" w:rsidRPr="00FE7CE1">
              <w:rPr>
                <w:sz w:val="22"/>
              </w:rPr>
              <w:t> </w:t>
            </w:r>
            <w:r w:rsidRPr="00FE7CE1">
              <w:rPr>
                <w:sz w:val="22"/>
              </w:rPr>
              <w:t>%; 100,0</w:t>
            </w:r>
            <w:r w:rsidR="00671040" w:rsidRPr="00FE7CE1">
              <w:rPr>
                <w:sz w:val="22"/>
              </w:rPr>
              <w:t> </w:t>
            </w:r>
            <w:r w:rsidRPr="00FE7CE1">
              <w:rPr>
                <w:sz w:val="22"/>
              </w:rPr>
              <w:t>%]</w:t>
            </w:r>
          </w:p>
        </w:tc>
        <w:tc>
          <w:tcPr>
            <w:tcW w:w="2325" w:type="dxa"/>
            <w:tcBorders>
              <w:bottom w:val="single" w:sz="12" w:space="0" w:color="000000"/>
              <w:right w:val="single" w:sz="12" w:space="0" w:color="000000"/>
            </w:tcBorders>
            <w:shd w:val="clear" w:color="auto" w:fill="auto"/>
          </w:tcPr>
          <w:p w14:paraId="5DE8C94E" w14:textId="77777777" w:rsidR="003A27D6" w:rsidRPr="00FE7CE1" w:rsidRDefault="008A6308">
            <w:pPr>
              <w:pStyle w:val="normal10pt"/>
              <w:jc w:val="center"/>
              <w:rPr>
                <w:sz w:val="22"/>
              </w:rPr>
            </w:pPr>
            <w:r w:rsidRPr="00FE7CE1">
              <w:rPr>
                <w:sz w:val="22"/>
              </w:rPr>
              <w:t>-</w:t>
            </w:r>
          </w:p>
        </w:tc>
      </w:tr>
    </w:tbl>
    <w:p w14:paraId="1377CB8C" w14:textId="2DF66F4C" w:rsidR="000E24ED" w:rsidRPr="00FE7CE1" w:rsidRDefault="000E24ED">
      <w:pPr>
        <w:rPr>
          <w:sz w:val="20"/>
          <w:szCs w:val="20"/>
        </w:rPr>
      </w:pPr>
      <w:r w:rsidRPr="000E24ED">
        <w:rPr>
          <w:sz w:val="20"/>
          <w:szCs w:val="20"/>
        </w:rPr>
        <w:t>N = </w:t>
      </w:r>
      <w:r w:rsidRPr="00FE7CE1">
        <w:rPr>
          <w:sz w:val="20"/>
          <w:szCs w:val="20"/>
        </w:rPr>
        <w:t>niiden tutkittavien lukumäärä, joilta saatiin analysointikelpoisia näytteitä</w:t>
      </w:r>
    </w:p>
    <w:p w14:paraId="2F6F36A3" w14:textId="77777777" w:rsidR="000E24ED" w:rsidRDefault="000E24ED"/>
    <w:p w14:paraId="39A942D5" w14:textId="77777777" w:rsidR="003A27D6" w:rsidRDefault="008A6308">
      <w:pPr>
        <w:pStyle w:val="HeadingUnderlined"/>
      </w:pPr>
      <w:r>
        <w:t>Immunogeenisuus</w:t>
      </w:r>
    </w:p>
    <w:p w14:paraId="2D75AA9D" w14:textId="4C319891" w:rsidR="003A27D6" w:rsidRDefault="008A6308">
      <w:r>
        <w:t>Ihmisillä tehdyssä altistustutkimuksessa osoitettiin, että vibriosidinen serokonversio (joka määriteltiin seerumin vibriosidisten vasta-ainetitterien vähintään nelinkertaistumisena lähtötilanteesta 10</w:t>
      </w:r>
      <w:r w:rsidR="0002317A">
        <w:t> </w:t>
      </w:r>
      <w:r>
        <w:t>vuorokautta rokotuksesta tehdyssä mittauksessa) korreloi keskivaikealta tai vaikealta ripulilta suojaavan vaikutuksen kanssa lähes yksi yhteen. Siksi serokonversio valikoitui immunologiseksi yhdistäjäksi altistustutkimukseen osallistuneiden 18 – &lt; 46</w:t>
      </w:r>
      <w:r>
        <w:noBreakHyphen/>
        <w:t>vuotiaiden aikuisten ja muiden populaatioiden, kuten iäkkäämpien aikuisten ja tutkimukseen osallistuneiden lasten, välillä. Immunogeenisuutta arvioitiin vielä kolmessa muussa tutkimuksessa, joita olivat: suuri tutkimus, johon osallistui 3 146 iältään 18 – &lt; 46</w:t>
      </w:r>
      <w:r>
        <w:noBreakHyphen/>
        <w:t>vuotiasta tervettä aikuista (keskimääräinen ikä 29,9 vuotta, vaihteluväli 18–46 vuotta, 45,2</w:t>
      </w:r>
      <w:r w:rsidR="00671040">
        <w:t> </w:t>
      </w:r>
      <w:r>
        <w:t>% miehiä, 54,8</w:t>
      </w:r>
      <w:r w:rsidR="00671040">
        <w:t> </w:t>
      </w:r>
      <w:r>
        <w:t>% naisia)</w:t>
      </w:r>
      <w:r w:rsidR="000E24ED">
        <w:t xml:space="preserve"> (tutkimus 3)</w:t>
      </w:r>
      <w:r>
        <w:t>; tutkimus, johon osallistui 398</w:t>
      </w:r>
      <w:r w:rsidR="0002317A">
        <w:t> </w:t>
      </w:r>
      <w:r>
        <w:t>iäkkäämpää, 46 – &lt; 65</w:t>
      </w:r>
      <w:r>
        <w:noBreakHyphen/>
        <w:t>vuotiasta tervettä aikuista (keskimääräinen ikä 53,8 vuotta, vaihteluväli 46–64 vuotta, 45,7</w:t>
      </w:r>
      <w:r w:rsidR="00671040">
        <w:t> </w:t>
      </w:r>
      <w:r>
        <w:t>% miehiä, 54,3</w:t>
      </w:r>
      <w:r w:rsidR="00671040">
        <w:t> </w:t>
      </w:r>
      <w:r>
        <w:t>% naisia)</w:t>
      </w:r>
      <w:r w:rsidR="000E24ED">
        <w:t xml:space="preserve"> (tutkimus 4)</w:t>
      </w:r>
      <w:r>
        <w:t>; ja pediatrinen tutkimus, johon osallistui 2 – &lt; 18</w:t>
      </w:r>
      <w:r>
        <w:noBreakHyphen/>
        <w:t>vuotiaita terveitä lapsia</w:t>
      </w:r>
      <w:r w:rsidR="000E24ED">
        <w:t xml:space="preserve"> (tutkimus 5)</w:t>
      </w:r>
      <w:r>
        <w:t>. Etukäteen määritettyjä immunogeenisuuden yleistettävyysanalyyseja, jotka perustuivat serokonversioprosenttien eroihin, tehtiin serokonversioprosenttien vähintään samanveroisuuden (non-inferiority) osoittamiseksi iäkkäämpien aikuisten tai lasten ja suureen immunogeenisuustutkimukseen osallistuneiden 18 – &lt; 46</w:t>
      </w:r>
      <w:r>
        <w:noBreakHyphen/>
        <w:t>vuotiaiden aikuisten välillä.</w:t>
      </w:r>
    </w:p>
    <w:p w14:paraId="161F1C95" w14:textId="77777777" w:rsidR="003A27D6" w:rsidRDefault="003A27D6"/>
    <w:p w14:paraId="429847E9" w14:textId="3547C0BC" w:rsidR="003A27D6" w:rsidRDefault="008A6308">
      <w:r>
        <w:t>Rokotetta ja lumerokotetta kussakin tutkimuksessa saaneiden serokonversioprosentit 10</w:t>
      </w:r>
      <w:r w:rsidR="0002317A">
        <w:t> </w:t>
      </w:r>
      <w:r>
        <w:t>vuorokautta rokotuksesta ja immunogeenisuuden yleistettävyystulokset esitetään yhteenvetona taulukoissa 2 ja</w:t>
      </w:r>
      <w:r w:rsidR="0002317A">
        <w:t> </w:t>
      </w:r>
      <w:r>
        <w:t>4. Altistustutkimuksessa 79,8 %:lla tutkittavista todettiin serokonversio 7</w:t>
      </w:r>
      <w:r w:rsidR="0002317A">
        <w:t> </w:t>
      </w:r>
      <w:r>
        <w:t>vuorokauteen mennessä rokotuksesta. Iäkkäämpien aikuisten ja pediatristen tutkittavien serokonversioprosentit eivät olleet nuorempien aikuisten serokonversioprosentteja pienempiä.</w:t>
      </w:r>
    </w:p>
    <w:p w14:paraId="670B8FEE" w14:textId="77777777" w:rsidR="003A27D6" w:rsidRDefault="003A27D6"/>
    <w:p w14:paraId="419D98F1" w14:textId="68FA1F49" w:rsidR="003A27D6" w:rsidRDefault="008A6308">
      <w:r>
        <w:t>Kolmessa aikuisille tehdyssä tutkimuksessa O1-lipopolysakkaridin (LPS) IgA: a ja IgG: tä tuottavien B</w:t>
      </w:r>
      <w:r>
        <w:noBreakHyphen/>
        <w:t>muistisolujen ja antikoleratoksiini IgG: tä tuottavien B</w:t>
      </w:r>
      <w:r>
        <w:noBreakHyphen/>
        <w:t>muistisolujen prosenttiosuudet olivat suurentuneet merkitsevästi 90 ja 180</w:t>
      </w:r>
      <w:r w:rsidR="0002317A">
        <w:t> </w:t>
      </w:r>
      <w:r>
        <w:t>vuorokauden kuluttua rokotuksesta. Iän ja B</w:t>
      </w:r>
      <w:r>
        <w:noBreakHyphen/>
        <w:t>muistisoluvasteen välillä ei todettu yhteyttä. Seerumin vibriosidisten vasta-aineiden keskimääräiset geometriset titterit (GMT) olivat myös merkitsevästi suuremmat rokotetuilla kuin lumerokotetta saaneilla henkilöillä 90</w:t>
      </w:r>
      <w:r w:rsidR="0002317A">
        <w:t> </w:t>
      </w:r>
      <w:r>
        <w:t>ja 180</w:t>
      </w:r>
      <w:r w:rsidR="0002317A">
        <w:t> </w:t>
      </w:r>
      <w:r>
        <w:t>vuorokautta immunisaation jälkeen kaikissa ikäryhmissä. Suojavaikutuksen kestoa ei tiedetä.</w:t>
      </w:r>
    </w:p>
    <w:p w14:paraId="56013C93" w14:textId="77777777" w:rsidR="003A27D6" w:rsidRDefault="003A27D6"/>
    <w:p w14:paraId="087DCA3E" w14:textId="318D2DC2" w:rsidR="003A27D6" w:rsidRDefault="008A6308">
      <w:pPr>
        <w:pStyle w:val="TableTitle"/>
        <w:ind w:left="1276" w:hanging="1276"/>
      </w:pPr>
      <w:r>
        <w:lastRenderedPageBreak/>
        <w:t xml:space="preserve">Taulukko 2: Vibriosidisten vasta-aineiden serokonversio </w:t>
      </w:r>
      <w:r>
        <w:rPr>
          <w:rStyle w:val="Painotus"/>
        </w:rPr>
        <w:t>V</w:t>
      </w:r>
      <w:r w:rsidR="000E24ED">
        <w:rPr>
          <w:rStyle w:val="Painotus"/>
        </w:rPr>
        <w:t>ibrio</w:t>
      </w:r>
      <w:r>
        <w:t> </w:t>
      </w:r>
      <w:r>
        <w:rPr>
          <w:rStyle w:val="Painotus"/>
        </w:rPr>
        <w:t>cholerae</w:t>
      </w:r>
      <w:r>
        <w:t xml:space="preserve"> -bakteerin klassista Inaba-kantaa vastaan aikuisilla 10</w:t>
      </w:r>
      <w:r w:rsidR="0002317A">
        <w:t> </w:t>
      </w:r>
      <w:r>
        <w:t>vuorokautta rokotuksesta</w:t>
      </w:r>
    </w:p>
    <w:p w14:paraId="5CC46325" w14:textId="77777777" w:rsidR="003A27D6" w:rsidRDefault="003A27D6">
      <w:pPr>
        <w:keepNext/>
      </w:pPr>
    </w:p>
    <w:tbl>
      <w:tblPr>
        <w:tblW w:w="9396" w:type="dxa"/>
        <w:tblCellMar>
          <w:top w:w="85" w:type="dxa"/>
          <w:bottom w:w="85" w:type="dxa"/>
        </w:tblCellMar>
        <w:tblLook w:val="04A0" w:firstRow="1" w:lastRow="0" w:firstColumn="1" w:lastColumn="0" w:noHBand="0" w:noVBand="1"/>
      </w:tblPr>
      <w:tblGrid>
        <w:gridCol w:w="1671"/>
        <w:gridCol w:w="1059"/>
        <w:gridCol w:w="1796"/>
        <w:gridCol w:w="696"/>
        <w:gridCol w:w="1550"/>
        <w:gridCol w:w="2624"/>
      </w:tblGrid>
      <w:tr w:rsidR="003A27D6" w14:paraId="04B638F8" w14:textId="77777777">
        <w:tc>
          <w:tcPr>
            <w:tcW w:w="1667" w:type="dxa"/>
            <w:tcBorders>
              <w:top w:val="single" w:sz="12" w:space="0" w:color="000000"/>
              <w:left w:val="single" w:sz="12" w:space="0" w:color="000000"/>
            </w:tcBorders>
            <w:shd w:val="clear" w:color="auto" w:fill="auto"/>
            <w:vAlign w:val="bottom"/>
          </w:tcPr>
          <w:p w14:paraId="751C6C3D" w14:textId="77777777" w:rsidR="003A27D6" w:rsidRPr="00604704" w:rsidRDefault="008A6308">
            <w:pPr>
              <w:pStyle w:val="Normal10pt0"/>
              <w:keepNext/>
              <w:ind w:left="0" w:firstLine="0"/>
              <w:jc w:val="center"/>
              <w:rPr>
                <w:rStyle w:val="Strong"/>
                <w:sz w:val="22"/>
              </w:rPr>
            </w:pPr>
            <w:r w:rsidRPr="00FE7CE1">
              <w:rPr>
                <w:rStyle w:val="Strong"/>
                <w:sz w:val="22"/>
              </w:rPr>
              <w:t>Tutkimus</w:t>
            </w:r>
          </w:p>
        </w:tc>
        <w:tc>
          <w:tcPr>
            <w:tcW w:w="2976" w:type="dxa"/>
            <w:gridSpan w:val="2"/>
            <w:tcBorders>
              <w:top w:val="single" w:sz="12" w:space="0" w:color="000000"/>
            </w:tcBorders>
            <w:shd w:val="clear" w:color="auto" w:fill="auto"/>
            <w:vAlign w:val="bottom"/>
          </w:tcPr>
          <w:p w14:paraId="5E714C48" w14:textId="77777777" w:rsidR="003A27D6" w:rsidRPr="00FE7CE1" w:rsidRDefault="008A6308">
            <w:pPr>
              <w:pStyle w:val="Normal10pt0"/>
              <w:keepNext/>
              <w:ind w:left="0" w:firstLine="0"/>
              <w:jc w:val="center"/>
              <w:rPr>
                <w:rStyle w:val="Strong"/>
                <w:sz w:val="22"/>
              </w:rPr>
            </w:pPr>
            <w:r w:rsidRPr="00FE7CE1">
              <w:rPr>
                <w:rStyle w:val="Strong"/>
                <w:sz w:val="22"/>
              </w:rPr>
              <w:t>Vaxchoraa saaneet</w:t>
            </w:r>
          </w:p>
        </w:tc>
        <w:tc>
          <w:tcPr>
            <w:tcW w:w="2215" w:type="dxa"/>
            <w:gridSpan w:val="2"/>
            <w:tcBorders>
              <w:top w:val="single" w:sz="12" w:space="0" w:color="000000"/>
            </w:tcBorders>
            <w:shd w:val="clear" w:color="auto" w:fill="auto"/>
            <w:vAlign w:val="bottom"/>
          </w:tcPr>
          <w:p w14:paraId="3B884431" w14:textId="77777777" w:rsidR="003A27D6" w:rsidRPr="00FE7CE1" w:rsidRDefault="008A6308">
            <w:pPr>
              <w:pStyle w:val="Normal10pt0"/>
              <w:keepNext/>
              <w:ind w:left="0" w:firstLine="0"/>
              <w:jc w:val="center"/>
              <w:rPr>
                <w:rStyle w:val="Strong"/>
                <w:sz w:val="22"/>
              </w:rPr>
            </w:pPr>
            <w:r w:rsidRPr="00FE7CE1">
              <w:rPr>
                <w:rStyle w:val="Strong"/>
                <w:sz w:val="22"/>
              </w:rPr>
              <w:t>Lumerokotetta saaneet</w:t>
            </w:r>
          </w:p>
        </w:tc>
        <w:tc>
          <w:tcPr>
            <w:tcW w:w="2537" w:type="dxa"/>
            <w:tcBorders>
              <w:top w:val="single" w:sz="12" w:space="0" w:color="000000"/>
              <w:right w:val="single" w:sz="12" w:space="0" w:color="000000"/>
            </w:tcBorders>
            <w:shd w:val="clear" w:color="auto" w:fill="auto"/>
            <w:vAlign w:val="bottom"/>
          </w:tcPr>
          <w:p w14:paraId="75ACE410" w14:textId="10213AC1" w:rsidR="003A27D6" w:rsidRPr="00FE7CE1" w:rsidRDefault="008A6308">
            <w:pPr>
              <w:pStyle w:val="Normal10pt0"/>
              <w:keepNext/>
              <w:ind w:left="0" w:firstLine="0"/>
              <w:jc w:val="center"/>
              <w:rPr>
                <w:rStyle w:val="Strong"/>
                <w:sz w:val="22"/>
              </w:rPr>
            </w:pPr>
            <w:r w:rsidRPr="00FE7CE1">
              <w:rPr>
                <w:rStyle w:val="Strong"/>
                <w:sz w:val="22"/>
              </w:rPr>
              <w:t>Immunogeenisuuden yleistettävyys: Serokonversioprosenttien ero 18–45</w:t>
            </w:r>
            <w:r w:rsidRPr="00FE7CE1">
              <w:rPr>
                <w:rStyle w:val="Strong"/>
                <w:sz w:val="22"/>
              </w:rPr>
              <w:noBreakHyphen/>
              <w:t xml:space="preserve">vuotiailla tehtyyn </w:t>
            </w:r>
            <w:r w:rsidR="000E24ED" w:rsidRPr="00FE7CE1">
              <w:rPr>
                <w:rStyle w:val="Strong"/>
                <w:sz w:val="22"/>
              </w:rPr>
              <w:t>tutkimukseen 3</w:t>
            </w:r>
            <w:r w:rsidRPr="00FE7CE1">
              <w:rPr>
                <w:rStyle w:val="Strong"/>
                <w:sz w:val="22"/>
              </w:rPr>
              <w:t xml:space="preserve"> verrattuna</w:t>
            </w:r>
          </w:p>
        </w:tc>
      </w:tr>
      <w:tr w:rsidR="003A27D6" w14:paraId="4E516DD5" w14:textId="77777777">
        <w:tc>
          <w:tcPr>
            <w:tcW w:w="1667" w:type="dxa"/>
            <w:tcBorders>
              <w:left w:val="single" w:sz="12" w:space="0" w:color="000000"/>
              <w:bottom w:val="single" w:sz="12" w:space="0" w:color="000000"/>
            </w:tcBorders>
            <w:shd w:val="clear" w:color="auto" w:fill="auto"/>
            <w:vAlign w:val="bottom"/>
          </w:tcPr>
          <w:p w14:paraId="5DB43F02" w14:textId="77777777" w:rsidR="003A27D6" w:rsidRPr="00FE7CE1" w:rsidRDefault="008A6308">
            <w:pPr>
              <w:pStyle w:val="Normal10pt0"/>
              <w:keepNext/>
              <w:ind w:left="0" w:firstLine="0"/>
              <w:jc w:val="center"/>
              <w:rPr>
                <w:b/>
                <w:sz w:val="22"/>
              </w:rPr>
            </w:pPr>
            <w:r w:rsidRPr="00FE7CE1">
              <w:rPr>
                <w:sz w:val="22"/>
              </w:rPr>
              <w:t>(ikä vuosina)</w:t>
            </w:r>
          </w:p>
        </w:tc>
        <w:tc>
          <w:tcPr>
            <w:tcW w:w="1134" w:type="dxa"/>
            <w:tcBorders>
              <w:bottom w:val="single" w:sz="12" w:space="0" w:color="000000"/>
            </w:tcBorders>
            <w:shd w:val="clear" w:color="auto" w:fill="auto"/>
            <w:vAlign w:val="bottom"/>
          </w:tcPr>
          <w:p w14:paraId="66E2236A" w14:textId="77777777" w:rsidR="003A27D6" w:rsidRPr="00FE7CE1" w:rsidRDefault="008A6308">
            <w:pPr>
              <w:pStyle w:val="Normal10pt0"/>
              <w:keepNext/>
              <w:ind w:left="0" w:firstLine="0"/>
              <w:jc w:val="center"/>
              <w:rPr>
                <w:b/>
                <w:sz w:val="22"/>
              </w:rPr>
            </w:pPr>
            <w:r w:rsidRPr="00FE7CE1">
              <w:rPr>
                <w:sz w:val="22"/>
              </w:rPr>
              <w:t>N</w:t>
            </w:r>
            <w:r w:rsidRPr="00FE7CE1">
              <w:rPr>
                <w:rStyle w:val="Superscript"/>
                <w:sz w:val="22"/>
              </w:rPr>
              <w:t>b</w:t>
            </w:r>
          </w:p>
        </w:tc>
        <w:tc>
          <w:tcPr>
            <w:tcW w:w="1842" w:type="dxa"/>
            <w:tcBorders>
              <w:bottom w:val="single" w:sz="12" w:space="0" w:color="000000"/>
            </w:tcBorders>
            <w:shd w:val="clear" w:color="auto" w:fill="auto"/>
            <w:vAlign w:val="bottom"/>
          </w:tcPr>
          <w:p w14:paraId="0C7584BC" w14:textId="77777777" w:rsidR="003A27D6" w:rsidRPr="00FE7CE1" w:rsidRDefault="008A6308">
            <w:pPr>
              <w:pStyle w:val="Normal10pt0"/>
              <w:keepNext/>
              <w:ind w:left="0" w:firstLine="0"/>
              <w:jc w:val="center"/>
              <w:rPr>
                <w:b/>
                <w:sz w:val="22"/>
              </w:rPr>
            </w:pPr>
            <w:r w:rsidRPr="00FE7CE1">
              <w:rPr>
                <w:sz w:val="22"/>
              </w:rPr>
              <w:t>Serokonversio</w:t>
            </w:r>
            <w:r w:rsidRPr="00FE7CE1">
              <w:rPr>
                <w:rStyle w:val="Superscript"/>
                <w:sz w:val="22"/>
              </w:rPr>
              <w:t>a</w:t>
            </w:r>
          </w:p>
          <w:p w14:paraId="1371D101" w14:textId="77777777" w:rsidR="003A27D6" w:rsidRPr="00FE7CE1" w:rsidRDefault="008A6308">
            <w:pPr>
              <w:pStyle w:val="Normal10pt0"/>
              <w:keepNext/>
              <w:ind w:left="0" w:firstLine="0"/>
              <w:jc w:val="center"/>
              <w:rPr>
                <w:b/>
                <w:sz w:val="22"/>
              </w:rPr>
            </w:pPr>
            <w:r w:rsidRPr="00FE7CE1">
              <w:rPr>
                <w:sz w:val="22"/>
              </w:rPr>
              <w:t>%</w:t>
            </w:r>
          </w:p>
          <w:p w14:paraId="106BC964" w14:textId="6762B1F7" w:rsidR="003A27D6" w:rsidRPr="00FE7CE1" w:rsidRDefault="008A6308">
            <w:pPr>
              <w:pStyle w:val="Normal10pt0"/>
              <w:keepNext/>
              <w:ind w:left="0" w:firstLine="0"/>
              <w:jc w:val="center"/>
              <w:rPr>
                <w:b/>
                <w:sz w:val="22"/>
              </w:rPr>
            </w:pPr>
            <w:r w:rsidRPr="00FE7CE1">
              <w:rPr>
                <w:sz w:val="22"/>
              </w:rPr>
              <w:t>[95</w:t>
            </w:r>
            <w:r w:rsidR="00671040" w:rsidRPr="00FE7CE1">
              <w:rPr>
                <w:sz w:val="22"/>
              </w:rPr>
              <w:t> </w:t>
            </w:r>
            <w:r w:rsidRPr="00FE7CE1">
              <w:rPr>
                <w:sz w:val="22"/>
              </w:rPr>
              <w:t>%:n CI]</w:t>
            </w:r>
          </w:p>
        </w:tc>
        <w:tc>
          <w:tcPr>
            <w:tcW w:w="728" w:type="dxa"/>
            <w:tcBorders>
              <w:bottom w:val="single" w:sz="12" w:space="0" w:color="000000"/>
            </w:tcBorders>
            <w:shd w:val="clear" w:color="auto" w:fill="auto"/>
            <w:vAlign w:val="bottom"/>
          </w:tcPr>
          <w:p w14:paraId="1219B362" w14:textId="77777777" w:rsidR="003A27D6" w:rsidRPr="00FE7CE1" w:rsidRDefault="008A6308">
            <w:pPr>
              <w:pStyle w:val="Normal10pt0"/>
              <w:keepNext/>
              <w:ind w:left="0" w:firstLine="0"/>
              <w:jc w:val="center"/>
              <w:rPr>
                <w:b/>
                <w:sz w:val="22"/>
              </w:rPr>
            </w:pPr>
            <w:r w:rsidRPr="00FE7CE1">
              <w:rPr>
                <w:sz w:val="22"/>
              </w:rPr>
              <w:t>N</w:t>
            </w:r>
            <w:r w:rsidRPr="00FE7CE1">
              <w:rPr>
                <w:rStyle w:val="Superscript"/>
                <w:sz w:val="22"/>
              </w:rPr>
              <w:t>b</w:t>
            </w:r>
          </w:p>
        </w:tc>
        <w:tc>
          <w:tcPr>
            <w:tcW w:w="1487" w:type="dxa"/>
            <w:tcBorders>
              <w:bottom w:val="single" w:sz="12" w:space="0" w:color="000000"/>
            </w:tcBorders>
            <w:shd w:val="clear" w:color="auto" w:fill="auto"/>
            <w:vAlign w:val="bottom"/>
          </w:tcPr>
          <w:p w14:paraId="7F0376F6" w14:textId="77777777" w:rsidR="003A27D6" w:rsidRPr="00FE7CE1" w:rsidRDefault="008A6308">
            <w:pPr>
              <w:pStyle w:val="Normal10pt0"/>
              <w:keepNext/>
              <w:ind w:left="0" w:firstLine="0"/>
              <w:jc w:val="center"/>
              <w:rPr>
                <w:b/>
                <w:sz w:val="22"/>
              </w:rPr>
            </w:pPr>
            <w:r w:rsidRPr="00FE7CE1">
              <w:rPr>
                <w:sz w:val="22"/>
              </w:rPr>
              <w:t>Serokonversio</w:t>
            </w:r>
            <w:r w:rsidRPr="00FE7CE1">
              <w:rPr>
                <w:rStyle w:val="Superscript"/>
                <w:sz w:val="22"/>
              </w:rPr>
              <w:t>a</w:t>
            </w:r>
          </w:p>
          <w:p w14:paraId="42F7BCB2" w14:textId="77777777" w:rsidR="003A27D6" w:rsidRPr="00FE7CE1" w:rsidRDefault="008A6308">
            <w:pPr>
              <w:pStyle w:val="Normal10pt0"/>
              <w:keepNext/>
              <w:ind w:left="0" w:firstLine="0"/>
              <w:jc w:val="center"/>
              <w:rPr>
                <w:b/>
                <w:sz w:val="22"/>
              </w:rPr>
            </w:pPr>
            <w:r w:rsidRPr="00FE7CE1">
              <w:rPr>
                <w:sz w:val="22"/>
              </w:rPr>
              <w:t>%</w:t>
            </w:r>
          </w:p>
          <w:p w14:paraId="350EBFEC" w14:textId="3715A087" w:rsidR="003A27D6" w:rsidRPr="00FE7CE1" w:rsidRDefault="008A6308">
            <w:pPr>
              <w:pStyle w:val="Normal10pt0"/>
              <w:keepNext/>
              <w:ind w:left="0" w:firstLine="0"/>
              <w:jc w:val="center"/>
              <w:rPr>
                <w:b/>
                <w:sz w:val="22"/>
              </w:rPr>
            </w:pPr>
            <w:r w:rsidRPr="00FE7CE1">
              <w:rPr>
                <w:sz w:val="22"/>
              </w:rPr>
              <w:t>[95</w:t>
            </w:r>
            <w:r w:rsidR="00671040" w:rsidRPr="00FE7CE1">
              <w:rPr>
                <w:sz w:val="22"/>
              </w:rPr>
              <w:t> </w:t>
            </w:r>
            <w:r w:rsidRPr="00FE7CE1">
              <w:rPr>
                <w:sz w:val="22"/>
              </w:rPr>
              <w:t>%:n CI</w:t>
            </w:r>
            <w:r w:rsidRPr="00FE7CE1">
              <w:rPr>
                <w:rStyle w:val="Superscript"/>
                <w:sz w:val="22"/>
              </w:rPr>
              <w:t>c</w:t>
            </w:r>
            <w:r w:rsidRPr="00FE7CE1">
              <w:rPr>
                <w:sz w:val="22"/>
              </w:rPr>
              <w:t>]</w:t>
            </w:r>
          </w:p>
        </w:tc>
        <w:tc>
          <w:tcPr>
            <w:tcW w:w="2537" w:type="dxa"/>
            <w:tcBorders>
              <w:bottom w:val="single" w:sz="12" w:space="0" w:color="000000"/>
              <w:right w:val="single" w:sz="12" w:space="0" w:color="000000"/>
            </w:tcBorders>
            <w:shd w:val="clear" w:color="auto" w:fill="auto"/>
            <w:vAlign w:val="bottom"/>
          </w:tcPr>
          <w:p w14:paraId="11E5909C" w14:textId="77777777" w:rsidR="003A27D6" w:rsidRPr="00FE7CE1" w:rsidRDefault="008A6308">
            <w:pPr>
              <w:pStyle w:val="Normal10pt0"/>
              <w:keepNext/>
              <w:ind w:left="0" w:firstLine="0"/>
              <w:jc w:val="center"/>
              <w:rPr>
                <w:b/>
                <w:sz w:val="22"/>
              </w:rPr>
            </w:pPr>
            <w:r w:rsidRPr="00FE7CE1">
              <w:rPr>
                <w:sz w:val="22"/>
              </w:rPr>
              <w:t>%</w:t>
            </w:r>
            <w:r w:rsidRPr="00FE7CE1">
              <w:rPr>
                <w:rStyle w:val="Superscript"/>
                <w:sz w:val="22"/>
              </w:rPr>
              <w:t>d</w:t>
            </w:r>
          </w:p>
          <w:p w14:paraId="2EE97C47" w14:textId="00999578" w:rsidR="003A27D6" w:rsidRPr="00FE7CE1" w:rsidRDefault="008A6308">
            <w:pPr>
              <w:pStyle w:val="Normal10pt0"/>
              <w:keepNext/>
              <w:ind w:left="0" w:firstLine="0"/>
              <w:jc w:val="center"/>
              <w:rPr>
                <w:sz w:val="22"/>
              </w:rPr>
            </w:pPr>
            <w:r w:rsidRPr="00FE7CE1">
              <w:rPr>
                <w:sz w:val="22"/>
              </w:rPr>
              <w:t>[95</w:t>
            </w:r>
            <w:r w:rsidR="00671040" w:rsidRPr="00FE7CE1">
              <w:rPr>
                <w:sz w:val="22"/>
              </w:rPr>
              <w:t> </w:t>
            </w:r>
            <w:r w:rsidRPr="00FE7CE1">
              <w:rPr>
                <w:sz w:val="22"/>
              </w:rPr>
              <w:t>%:n CI</w:t>
            </w:r>
            <w:r w:rsidRPr="00FE7CE1">
              <w:rPr>
                <w:rStyle w:val="Superscript"/>
                <w:sz w:val="22"/>
              </w:rPr>
              <w:t>c</w:t>
            </w:r>
            <w:r w:rsidRPr="00FE7CE1">
              <w:rPr>
                <w:sz w:val="22"/>
              </w:rPr>
              <w:t>]</w:t>
            </w:r>
          </w:p>
        </w:tc>
      </w:tr>
      <w:tr w:rsidR="003A27D6" w14:paraId="5D915ACE" w14:textId="77777777">
        <w:tc>
          <w:tcPr>
            <w:tcW w:w="1667" w:type="dxa"/>
            <w:tcBorders>
              <w:top w:val="single" w:sz="12" w:space="0" w:color="000000"/>
              <w:left w:val="single" w:sz="12" w:space="0" w:color="000000"/>
            </w:tcBorders>
            <w:shd w:val="clear" w:color="auto" w:fill="auto"/>
          </w:tcPr>
          <w:p w14:paraId="24EF6D81" w14:textId="77777777" w:rsidR="003A27D6" w:rsidRPr="00FE7CE1" w:rsidRDefault="008A6308">
            <w:pPr>
              <w:pStyle w:val="Normal10pt0"/>
              <w:keepNext/>
              <w:ind w:left="0" w:firstLine="0"/>
              <w:jc w:val="center"/>
              <w:rPr>
                <w:b/>
                <w:sz w:val="22"/>
              </w:rPr>
            </w:pPr>
            <w:r w:rsidRPr="00FE7CE1">
              <w:rPr>
                <w:sz w:val="22"/>
              </w:rPr>
              <w:t>Altistustutkimus</w:t>
            </w:r>
          </w:p>
          <w:p w14:paraId="1048C1A3" w14:textId="77777777" w:rsidR="003A27D6" w:rsidRPr="00FE7CE1" w:rsidRDefault="008A6308">
            <w:pPr>
              <w:pStyle w:val="Normal10pt0"/>
              <w:keepNext/>
              <w:ind w:left="0" w:firstLine="0"/>
              <w:jc w:val="center"/>
              <w:rPr>
                <w:b/>
                <w:sz w:val="22"/>
              </w:rPr>
            </w:pPr>
            <w:r w:rsidRPr="00FE7CE1">
              <w:rPr>
                <w:sz w:val="22"/>
              </w:rPr>
              <w:t>(18–45)</w:t>
            </w:r>
          </w:p>
        </w:tc>
        <w:tc>
          <w:tcPr>
            <w:tcW w:w="1134" w:type="dxa"/>
            <w:tcBorders>
              <w:top w:val="single" w:sz="12" w:space="0" w:color="000000"/>
            </w:tcBorders>
            <w:shd w:val="clear" w:color="auto" w:fill="auto"/>
          </w:tcPr>
          <w:p w14:paraId="52394089" w14:textId="77777777" w:rsidR="003A27D6" w:rsidRPr="00FE7CE1" w:rsidRDefault="008A6308">
            <w:pPr>
              <w:pStyle w:val="Normal10pt0"/>
              <w:keepNext/>
              <w:ind w:left="0" w:firstLine="0"/>
              <w:jc w:val="center"/>
              <w:rPr>
                <w:b/>
                <w:sz w:val="22"/>
              </w:rPr>
            </w:pPr>
            <w:r w:rsidRPr="00FE7CE1">
              <w:rPr>
                <w:sz w:val="22"/>
              </w:rPr>
              <w:t>93</w:t>
            </w:r>
          </w:p>
        </w:tc>
        <w:tc>
          <w:tcPr>
            <w:tcW w:w="1849" w:type="dxa"/>
            <w:tcBorders>
              <w:top w:val="single" w:sz="12" w:space="0" w:color="000000"/>
            </w:tcBorders>
            <w:shd w:val="clear" w:color="auto" w:fill="auto"/>
          </w:tcPr>
          <w:p w14:paraId="796DBC0E" w14:textId="6258C64D" w:rsidR="003A27D6" w:rsidRPr="00FE7CE1" w:rsidRDefault="008A6308">
            <w:pPr>
              <w:pStyle w:val="Normal10pt0"/>
              <w:keepNext/>
              <w:ind w:left="0" w:firstLine="0"/>
              <w:jc w:val="center"/>
              <w:rPr>
                <w:b/>
                <w:sz w:val="22"/>
              </w:rPr>
            </w:pPr>
            <w:r w:rsidRPr="00FE7CE1">
              <w:rPr>
                <w:sz w:val="22"/>
              </w:rPr>
              <w:t>90,3</w:t>
            </w:r>
            <w:r w:rsidR="00671040" w:rsidRPr="00FE7CE1">
              <w:rPr>
                <w:sz w:val="22"/>
              </w:rPr>
              <w:t> </w:t>
            </w:r>
            <w:r w:rsidRPr="00FE7CE1">
              <w:rPr>
                <w:sz w:val="22"/>
              </w:rPr>
              <w:t>%</w:t>
            </w:r>
          </w:p>
          <w:p w14:paraId="01D461B2" w14:textId="2B9CC4BA" w:rsidR="003A27D6" w:rsidRPr="00FE7CE1" w:rsidRDefault="008A6308">
            <w:pPr>
              <w:pStyle w:val="Normal10pt0"/>
              <w:keepNext/>
              <w:ind w:left="0" w:firstLine="0"/>
              <w:jc w:val="center"/>
              <w:rPr>
                <w:b/>
                <w:sz w:val="22"/>
              </w:rPr>
            </w:pPr>
            <w:r w:rsidRPr="00FE7CE1">
              <w:rPr>
                <w:sz w:val="22"/>
              </w:rPr>
              <w:t>[82,4</w:t>
            </w:r>
            <w:r w:rsidR="00671040" w:rsidRPr="00FE7CE1">
              <w:rPr>
                <w:sz w:val="22"/>
              </w:rPr>
              <w:t> </w:t>
            </w:r>
            <w:r w:rsidRPr="00FE7CE1">
              <w:rPr>
                <w:sz w:val="22"/>
              </w:rPr>
              <w:t>%; 95,5</w:t>
            </w:r>
            <w:r w:rsidR="00671040" w:rsidRPr="00FE7CE1">
              <w:rPr>
                <w:sz w:val="22"/>
              </w:rPr>
              <w:t> </w:t>
            </w:r>
            <w:r w:rsidRPr="00FE7CE1">
              <w:rPr>
                <w:sz w:val="22"/>
              </w:rPr>
              <w:t>%]</w:t>
            </w:r>
          </w:p>
        </w:tc>
        <w:tc>
          <w:tcPr>
            <w:tcW w:w="721" w:type="dxa"/>
            <w:tcBorders>
              <w:top w:val="single" w:sz="12" w:space="0" w:color="000000"/>
            </w:tcBorders>
            <w:shd w:val="clear" w:color="auto" w:fill="auto"/>
          </w:tcPr>
          <w:p w14:paraId="4BB49FD6" w14:textId="77777777" w:rsidR="003A27D6" w:rsidRPr="00FE7CE1" w:rsidRDefault="008A6308">
            <w:pPr>
              <w:pStyle w:val="Normal10pt0"/>
              <w:keepNext/>
              <w:ind w:left="0" w:firstLine="0"/>
              <w:jc w:val="center"/>
              <w:rPr>
                <w:b/>
                <w:sz w:val="22"/>
              </w:rPr>
            </w:pPr>
            <w:r w:rsidRPr="00FE7CE1">
              <w:rPr>
                <w:sz w:val="22"/>
              </w:rPr>
              <w:t>102</w:t>
            </w:r>
          </w:p>
        </w:tc>
        <w:tc>
          <w:tcPr>
            <w:tcW w:w="1487" w:type="dxa"/>
            <w:tcBorders>
              <w:top w:val="single" w:sz="12" w:space="0" w:color="000000"/>
            </w:tcBorders>
            <w:shd w:val="clear" w:color="auto" w:fill="auto"/>
          </w:tcPr>
          <w:p w14:paraId="6B64BB18" w14:textId="331D7B34" w:rsidR="003A27D6" w:rsidRPr="00FE7CE1" w:rsidRDefault="008A6308">
            <w:pPr>
              <w:pStyle w:val="Normal10pt0"/>
              <w:keepNext/>
              <w:ind w:left="0" w:firstLine="0"/>
              <w:jc w:val="center"/>
              <w:rPr>
                <w:b/>
                <w:sz w:val="22"/>
              </w:rPr>
            </w:pPr>
            <w:r w:rsidRPr="00FE7CE1">
              <w:rPr>
                <w:sz w:val="22"/>
              </w:rPr>
              <w:t>2,0</w:t>
            </w:r>
            <w:r w:rsidR="00671040" w:rsidRPr="00FE7CE1">
              <w:rPr>
                <w:sz w:val="22"/>
              </w:rPr>
              <w:t> </w:t>
            </w:r>
            <w:r w:rsidRPr="00FE7CE1">
              <w:rPr>
                <w:sz w:val="22"/>
              </w:rPr>
              <w:t>%</w:t>
            </w:r>
          </w:p>
          <w:p w14:paraId="126A7D36" w14:textId="7B1D8ACF" w:rsidR="003A27D6" w:rsidRPr="00FE7CE1" w:rsidRDefault="008A6308">
            <w:pPr>
              <w:pStyle w:val="Normal10pt0"/>
              <w:keepNext/>
              <w:ind w:left="0" w:firstLine="0"/>
              <w:jc w:val="center"/>
              <w:rPr>
                <w:b/>
                <w:sz w:val="22"/>
              </w:rPr>
            </w:pPr>
            <w:r w:rsidRPr="00FE7CE1">
              <w:rPr>
                <w:sz w:val="22"/>
              </w:rPr>
              <w:t>[0,2</w:t>
            </w:r>
            <w:r w:rsidR="00671040" w:rsidRPr="00FE7CE1">
              <w:rPr>
                <w:sz w:val="22"/>
              </w:rPr>
              <w:t> </w:t>
            </w:r>
            <w:r w:rsidRPr="00FE7CE1">
              <w:rPr>
                <w:sz w:val="22"/>
              </w:rPr>
              <w:t>%; 6,9</w:t>
            </w:r>
            <w:r w:rsidR="00671040" w:rsidRPr="00FE7CE1">
              <w:rPr>
                <w:sz w:val="22"/>
              </w:rPr>
              <w:t> </w:t>
            </w:r>
            <w:r w:rsidRPr="00FE7CE1">
              <w:rPr>
                <w:sz w:val="22"/>
              </w:rPr>
              <w:t>%]</w:t>
            </w:r>
          </w:p>
        </w:tc>
        <w:tc>
          <w:tcPr>
            <w:tcW w:w="2537" w:type="dxa"/>
            <w:tcBorders>
              <w:top w:val="single" w:sz="12" w:space="0" w:color="000000"/>
              <w:right w:val="single" w:sz="12" w:space="0" w:color="000000"/>
            </w:tcBorders>
            <w:shd w:val="clear" w:color="auto" w:fill="auto"/>
          </w:tcPr>
          <w:p w14:paraId="1A522CE7" w14:textId="77777777" w:rsidR="003A27D6" w:rsidRPr="00FE7CE1" w:rsidRDefault="008A6308">
            <w:pPr>
              <w:pStyle w:val="Normal10pt0"/>
              <w:keepNext/>
              <w:ind w:left="0" w:firstLine="0"/>
              <w:jc w:val="center"/>
              <w:rPr>
                <w:b/>
                <w:sz w:val="22"/>
              </w:rPr>
            </w:pPr>
            <w:r w:rsidRPr="00FE7CE1">
              <w:rPr>
                <w:sz w:val="22"/>
              </w:rPr>
              <w:t>-</w:t>
            </w:r>
          </w:p>
        </w:tc>
      </w:tr>
      <w:tr w:rsidR="003A27D6" w14:paraId="2C746AA5" w14:textId="77777777">
        <w:tc>
          <w:tcPr>
            <w:tcW w:w="1667" w:type="dxa"/>
            <w:tcBorders>
              <w:left w:val="single" w:sz="12" w:space="0" w:color="000000"/>
            </w:tcBorders>
            <w:shd w:val="clear" w:color="auto" w:fill="auto"/>
          </w:tcPr>
          <w:p w14:paraId="2C557637" w14:textId="65D7B855" w:rsidR="003A27D6" w:rsidRPr="00FE7CE1" w:rsidRDefault="000E24ED">
            <w:pPr>
              <w:pStyle w:val="Normal10pt0"/>
              <w:keepNext/>
              <w:ind w:left="0" w:firstLine="0"/>
              <w:jc w:val="center"/>
              <w:rPr>
                <w:b/>
                <w:sz w:val="22"/>
              </w:rPr>
            </w:pPr>
            <w:r w:rsidRPr="00FE7CE1">
              <w:rPr>
                <w:sz w:val="22"/>
              </w:rPr>
              <w:t>T</w:t>
            </w:r>
            <w:r w:rsidR="008A6308" w:rsidRPr="00FE7CE1">
              <w:rPr>
                <w:sz w:val="22"/>
              </w:rPr>
              <w:t>utkimus</w:t>
            </w:r>
            <w:r w:rsidRPr="00FE7CE1">
              <w:rPr>
                <w:sz w:val="22"/>
              </w:rPr>
              <w:t> 3</w:t>
            </w:r>
          </w:p>
          <w:p w14:paraId="65A4EC9A" w14:textId="77777777" w:rsidR="003A27D6" w:rsidRPr="00FE7CE1" w:rsidRDefault="008A6308">
            <w:pPr>
              <w:pStyle w:val="Normal10pt0"/>
              <w:keepNext/>
              <w:ind w:left="0" w:firstLine="0"/>
              <w:jc w:val="center"/>
              <w:rPr>
                <w:b/>
                <w:sz w:val="22"/>
              </w:rPr>
            </w:pPr>
            <w:r w:rsidRPr="00FE7CE1">
              <w:rPr>
                <w:sz w:val="22"/>
              </w:rPr>
              <w:t>(18–45)</w:t>
            </w:r>
          </w:p>
        </w:tc>
        <w:tc>
          <w:tcPr>
            <w:tcW w:w="1134" w:type="dxa"/>
            <w:shd w:val="clear" w:color="auto" w:fill="auto"/>
          </w:tcPr>
          <w:p w14:paraId="0315BADF" w14:textId="77777777" w:rsidR="003A27D6" w:rsidRPr="00FE7CE1" w:rsidRDefault="008A6308">
            <w:pPr>
              <w:pStyle w:val="Normal10pt0"/>
              <w:keepNext/>
              <w:ind w:left="0" w:firstLine="0"/>
              <w:jc w:val="center"/>
              <w:rPr>
                <w:b/>
                <w:sz w:val="22"/>
              </w:rPr>
            </w:pPr>
            <w:r w:rsidRPr="00FE7CE1">
              <w:rPr>
                <w:sz w:val="22"/>
              </w:rPr>
              <w:t>2 687</w:t>
            </w:r>
          </w:p>
        </w:tc>
        <w:tc>
          <w:tcPr>
            <w:tcW w:w="1849" w:type="dxa"/>
            <w:shd w:val="clear" w:color="auto" w:fill="auto"/>
          </w:tcPr>
          <w:p w14:paraId="73AEB834" w14:textId="2361A073" w:rsidR="003A27D6" w:rsidRPr="00FE7CE1" w:rsidRDefault="008A6308">
            <w:pPr>
              <w:pStyle w:val="Normal10pt0"/>
              <w:keepNext/>
              <w:ind w:left="0" w:firstLine="0"/>
              <w:jc w:val="center"/>
              <w:rPr>
                <w:b/>
                <w:sz w:val="22"/>
              </w:rPr>
            </w:pPr>
            <w:r w:rsidRPr="00FE7CE1">
              <w:rPr>
                <w:sz w:val="22"/>
              </w:rPr>
              <w:t>93,5</w:t>
            </w:r>
            <w:r w:rsidR="00671040" w:rsidRPr="00FE7CE1">
              <w:rPr>
                <w:sz w:val="22"/>
              </w:rPr>
              <w:t> </w:t>
            </w:r>
            <w:r w:rsidRPr="00FE7CE1">
              <w:rPr>
                <w:sz w:val="22"/>
              </w:rPr>
              <w:t>%</w:t>
            </w:r>
          </w:p>
          <w:p w14:paraId="10DD8FC4" w14:textId="125D25A4" w:rsidR="003A27D6" w:rsidRPr="00FE7CE1" w:rsidRDefault="008A6308">
            <w:pPr>
              <w:pStyle w:val="Normal10pt0"/>
              <w:keepNext/>
              <w:ind w:left="0" w:firstLine="0"/>
              <w:jc w:val="center"/>
              <w:rPr>
                <w:b/>
                <w:sz w:val="22"/>
              </w:rPr>
            </w:pPr>
            <w:r w:rsidRPr="00FE7CE1">
              <w:rPr>
                <w:sz w:val="22"/>
              </w:rPr>
              <w:t>[92,5</w:t>
            </w:r>
            <w:r w:rsidR="00671040" w:rsidRPr="00FE7CE1">
              <w:rPr>
                <w:sz w:val="22"/>
              </w:rPr>
              <w:t> </w:t>
            </w:r>
            <w:r w:rsidRPr="00FE7CE1">
              <w:rPr>
                <w:sz w:val="22"/>
              </w:rPr>
              <w:t>%; 94,4</w:t>
            </w:r>
            <w:r w:rsidR="00671040" w:rsidRPr="00FE7CE1">
              <w:rPr>
                <w:sz w:val="22"/>
              </w:rPr>
              <w:t> </w:t>
            </w:r>
            <w:r w:rsidRPr="00FE7CE1">
              <w:rPr>
                <w:sz w:val="22"/>
              </w:rPr>
              <w:t>%]</w:t>
            </w:r>
          </w:p>
        </w:tc>
        <w:tc>
          <w:tcPr>
            <w:tcW w:w="721" w:type="dxa"/>
            <w:shd w:val="clear" w:color="auto" w:fill="auto"/>
          </w:tcPr>
          <w:p w14:paraId="1EE119C3" w14:textId="77777777" w:rsidR="003A27D6" w:rsidRPr="00FE7CE1" w:rsidRDefault="008A6308">
            <w:pPr>
              <w:pStyle w:val="Normal10pt0"/>
              <w:keepNext/>
              <w:ind w:left="0" w:firstLine="0"/>
              <w:jc w:val="center"/>
              <w:rPr>
                <w:b/>
                <w:sz w:val="22"/>
              </w:rPr>
            </w:pPr>
            <w:r w:rsidRPr="00FE7CE1">
              <w:rPr>
                <w:sz w:val="22"/>
              </w:rPr>
              <w:t>334</w:t>
            </w:r>
          </w:p>
        </w:tc>
        <w:tc>
          <w:tcPr>
            <w:tcW w:w="1487" w:type="dxa"/>
            <w:shd w:val="clear" w:color="auto" w:fill="auto"/>
          </w:tcPr>
          <w:p w14:paraId="3CA61339" w14:textId="54134AFC" w:rsidR="003A27D6" w:rsidRPr="00FE7CE1" w:rsidRDefault="008A6308">
            <w:pPr>
              <w:pStyle w:val="Normal10pt0"/>
              <w:keepNext/>
              <w:ind w:left="0" w:firstLine="0"/>
              <w:jc w:val="center"/>
              <w:rPr>
                <w:b/>
                <w:sz w:val="22"/>
              </w:rPr>
            </w:pPr>
            <w:r w:rsidRPr="00FE7CE1">
              <w:rPr>
                <w:sz w:val="22"/>
              </w:rPr>
              <w:t>4,2</w:t>
            </w:r>
            <w:r w:rsidR="00671040" w:rsidRPr="00FE7CE1">
              <w:rPr>
                <w:sz w:val="22"/>
              </w:rPr>
              <w:t> </w:t>
            </w:r>
            <w:r w:rsidRPr="00FE7CE1">
              <w:rPr>
                <w:sz w:val="22"/>
              </w:rPr>
              <w:t>%</w:t>
            </w:r>
          </w:p>
          <w:p w14:paraId="4A3C5330" w14:textId="708FD43B" w:rsidR="003A27D6" w:rsidRPr="00FE7CE1" w:rsidRDefault="008A6308">
            <w:pPr>
              <w:pStyle w:val="Normal10pt0"/>
              <w:keepNext/>
              <w:ind w:left="0" w:firstLine="0"/>
              <w:jc w:val="center"/>
              <w:rPr>
                <w:b/>
                <w:sz w:val="22"/>
              </w:rPr>
            </w:pPr>
            <w:r w:rsidRPr="00FE7CE1">
              <w:rPr>
                <w:sz w:val="22"/>
              </w:rPr>
              <w:t>[2,3</w:t>
            </w:r>
            <w:r w:rsidR="00671040" w:rsidRPr="00FE7CE1">
              <w:rPr>
                <w:sz w:val="22"/>
              </w:rPr>
              <w:t> </w:t>
            </w:r>
            <w:r w:rsidRPr="00FE7CE1">
              <w:rPr>
                <w:sz w:val="22"/>
              </w:rPr>
              <w:t>%; 6,9</w:t>
            </w:r>
            <w:r w:rsidR="00671040" w:rsidRPr="00FE7CE1">
              <w:rPr>
                <w:sz w:val="22"/>
              </w:rPr>
              <w:t> </w:t>
            </w:r>
            <w:r w:rsidRPr="00FE7CE1">
              <w:rPr>
                <w:sz w:val="22"/>
              </w:rPr>
              <w:t>%]</w:t>
            </w:r>
          </w:p>
        </w:tc>
        <w:tc>
          <w:tcPr>
            <w:tcW w:w="2537" w:type="dxa"/>
            <w:tcBorders>
              <w:right w:val="single" w:sz="12" w:space="0" w:color="000000"/>
            </w:tcBorders>
            <w:shd w:val="clear" w:color="auto" w:fill="auto"/>
          </w:tcPr>
          <w:p w14:paraId="07503E58" w14:textId="77777777" w:rsidR="003A27D6" w:rsidRPr="00FE7CE1" w:rsidRDefault="008A6308">
            <w:pPr>
              <w:pStyle w:val="Normal10pt0"/>
              <w:keepNext/>
              <w:ind w:left="0" w:firstLine="0"/>
              <w:jc w:val="center"/>
              <w:rPr>
                <w:b/>
                <w:sz w:val="22"/>
              </w:rPr>
            </w:pPr>
            <w:r w:rsidRPr="00FE7CE1">
              <w:rPr>
                <w:sz w:val="22"/>
              </w:rPr>
              <w:t>-</w:t>
            </w:r>
          </w:p>
        </w:tc>
      </w:tr>
      <w:tr w:rsidR="003A27D6" w14:paraId="54A77BE7" w14:textId="77777777">
        <w:tc>
          <w:tcPr>
            <w:tcW w:w="1667" w:type="dxa"/>
            <w:tcBorders>
              <w:left w:val="single" w:sz="12" w:space="0" w:color="000000"/>
              <w:bottom w:val="single" w:sz="12" w:space="0" w:color="000000"/>
            </w:tcBorders>
            <w:shd w:val="clear" w:color="auto" w:fill="auto"/>
          </w:tcPr>
          <w:p w14:paraId="092C0A05" w14:textId="1FC773E4" w:rsidR="003A27D6" w:rsidRPr="00FE7CE1" w:rsidRDefault="000E24ED">
            <w:pPr>
              <w:pStyle w:val="Normal10pt0"/>
              <w:keepNext/>
              <w:ind w:left="0" w:firstLine="0"/>
              <w:jc w:val="center"/>
              <w:rPr>
                <w:b/>
                <w:sz w:val="22"/>
              </w:rPr>
            </w:pPr>
            <w:r w:rsidRPr="00FE7CE1">
              <w:rPr>
                <w:sz w:val="22"/>
              </w:rPr>
              <w:t>Tutkimus 4</w:t>
            </w:r>
          </w:p>
          <w:p w14:paraId="79891FA1" w14:textId="77777777" w:rsidR="003A27D6" w:rsidRPr="00FE7CE1" w:rsidRDefault="008A6308">
            <w:pPr>
              <w:pStyle w:val="Normal10pt0"/>
              <w:keepNext/>
              <w:ind w:left="0" w:firstLine="0"/>
              <w:jc w:val="center"/>
              <w:rPr>
                <w:b/>
                <w:sz w:val="22"/>
              </w:rPr>
            </w:pPr>
            <w:r w:rsidRPr="00FE7CE1">
              <w:rPr>
                <w:sz w:val="22"/>
              </w:rPr>
              <w:t>(46–64)</w:t>
            </w:r>
          </w:p>
        </w:tc>
        <w:tc>
          <w:tcPr>
            <w:tcW w:w="1134" w:type="dxa"/>
            <w:tcBorders>
              <w:bottom w:val="single" w:sz="12" w:space="0" w:color="000000"/>
            </w:tcBorders>
            <w:shd w:val="clear" w:color="auto" w:fill="auto"/>
          </w:tcPr>
          <w:p w14:paraId="1C8F5E13" w14:textId="77777777" w:rsidR="003A27D6" w:rsidRPr="00FE7CE1" w:rsidRDefault="008A6308">
            <w:pPr>
              <w:pStyle w:val="Normal10pt0"/>
              <w:keepNext/>
              <w:ind w:left="0" w:firstLine="0"/>
              <w:jc w:val="center"/>
              <w:rPr>
                <w:b/>
                <w:sz w:val="22"/>
              </w:rPr>
            </w:pPr>
            <w:r w:rsidRPr="00FE7CE1">
              <w:rPr>
                <w:sz w:val="22"/>
              </w:rPr>
              <w:t>291</w:t>
            </w:r>
          </w:p>
        </w:tc>
        <w:tc>
          <w:tcPr>
            <w:tcW w:w="1849" w:type="dxa"/>
            <w:tcBorders>
              <w:bottom w:val="single" w:sz="12" w:space="0" w:color="000000"/>
            </w:tcBorders>
            <w:shd w:val="clear" w:color="auto" w:fill="auto"/>
          </w:tcPr>
          <w:p w14:paraId="4318B8AC" w14:textId="24352747" w:rsidR="003A27D6" w:rsidRPr="00FE7CE1" w:rsidRDefault="008A6308">
            <w:pPr>
              <w:pStyle w:val="Normal10pt0"/>
              <w:keepNext/>
              <w:ind w:left="0" w:firstLine="0"/>
              <w:jc w:val="center"/>
              <w:rPr>
                <w:b/>
                <w:sz w:val="22"/>
              </w:rPr>
            </w:pPr>
            <w:r w:rsidRPr="00FE7CE1">
              <w:rPr>
                <w:sz w:val="22"/>
              </w:rPr>
              <w:t>90,4</w:t>
            </w:r>
            <w:r w:rsidR="00671040" w:rsidRPr="00FE7CE1">
              <w:rPr>
                <w:sz w:val="22"/>
              </w:rPr>
              <w:t> </w:t>
            </w:r>
            <w:r w:rsidRPr="00FE7CE1">
              <w:rPr>
                <w:sz w:val="22"/>
              </w:rPr>
              <w:t>%</w:t>
            </w:r>
          </w:p>
          <w:p w14:paraId="26717A0C" w14:textId="35DF4AC1" w:rsidR="003A27D6" w:rsidRPr="00FE7CE1" w:rsidRDefault="008A6308">
            <w:pPr>
              <w:pStyle w:val="Normal10pt0"/>
              <w:keepNext/>
              <w:ind w:left="0" w:firstLine="0"/>
              <w:jc w:val="center"/>
              <w:rPr>
                <w:b/>
                <w:sz w:val="22"/>
              </w:rPr>
            </w:pPr>
            <w:r w:rsidRPr="00FE7CE1">
              <w:rPr>
                <w:sz w:val="22"/>
              </w:rPr>
              <w:t>[86,4</w:t>
            </w:r>
            <w:r w:rsidR="00671040" w:rsidRPr="00FE7CE1">
              <w:rPr>
                <w:sz w:val="22"/>
              </w:rPr>
              <w:t> </w:t>
            </w:r>
            <w:r w:rsidRPr="00FE7CE1">
              <w:rPr>
                <w:sz w:val="22"/>
              </w:rPr>
              <w:t>%; 93,5</w:t>
            </w:r>
            <w:r w:rsidR="00671040" w:rsidRPr="00FE7CE1">
              <w:rPr>
                <w:sz w:val="22"/>
              </w:rPr>
              <w:t> </w:t>
            </w:r>
            <w:r w:rsidRPr="00FE7CE1">
              <w:rPr>
                <w:sz w:val="22"/>
              </w:rPr>
              <w:t>%]</w:t>
            </w:r>
          </w:p>
        </w:tc>
        <w:tc>
          <w:tcPr>
            <w:tcW w:w="721" w:type="dxa"/>
            <w:tcBorders>
              <w:bottom w:val="single" w:sz="12" w:space="0" w:color="000000"/>
            </w:tcBorders>
            <w:shd w:val="clear" w:color="auto" w:fill="auto"/>
          </w:tcPr>
          <w:p w14:paraId="6A63F6D9" w14:textId="77777777" w:rsidR="003A27D6" w:rsidRPr="00FE7CE1" w:rsidRDefault="008A6308">
            <w:pPr>
              <w:pStyle w:val="Normal10pt0"/>
              <w:keepNext/>
              <w:ind w:left="0" w:firstLine="0"/>
              <w:jc w:val="center"/>
              <w:rPr>
                <w:b/>
                <w:sz w:val="22"/>
              </w:rPr>
            </w:pPr>
            <w:r w:rsidRPr="00FE7CE1">
              <w:rPr>
                <w:sz w:val="22"/>
              </w:rPr>
              <w:t>99</w:t>
            </w:r>
          </w:p>
        </w:tc>
        <w:tc>
          <w:tcPr>
            <w:tcW w:w="1487" w:type="dxa"/>
            <w:tcBorders>
              <w:bottom w:val="single" w:sz="12" w:space="0" w:color="000000"/>
            </w:tcBorders>
            <w:shd w:val="clear" w:color="auto" w:fill="auto"/>
          </w:tcPr>
          <w:p w14:paraId="1801D088" w14:textId="494D0C72" w:rsidR="003A27D6" w:rsidRPr="00FE7CE1" w:rsidRDefault="008A6308">
            <w:pPr>
              <w:pStyle w:val="Normal10pt0"/>
              <w:keepNext/>
              <w:ind w:left="0" w:firstLine="0"/>
              <w:jc w:val="center"/>
              <w:rPr>
                <w:b/>
                <w:sz w:val="22"/>
              </w:rPr>
            </w:pPr>
            <w:r w:rsidRPr="00FE7CE1">
              <w:rPr>
                <w:sz w:val="22"/>
              </w:rPr>
              <w:t>0</w:t>
            </w:r>
            <w:r w:rsidR="00671040" w:rsidRPr="00FE7CE1">
              <w:rPr>
                <w:sz w:val="22"/>
              </w:rPr>
              <w:t> </w:t>
            </w:r>
            <w:r w:rsidRPr="00FE7CE1">
              <w:rPr>
                <w:sz w:val="22"/>
              </w:rPr>
              <w:t>%</w:t>
            </w:r>
          </w:p>
          <w:p w14:paraId="18A9A1E3" w14:textId="20D9F888" w:rsidR="003A27D6" w:rsidRPr="00FE7CE1" w:rsidRDefault="008A6308">
            <w:pPr>
              <w:pStyle w:val="Normal10pt0"/>
              <w:keepNext/>
              <w:ind w:left="0" w:firstLine="0"/>
              <w:jc w:val="center"/>
              <w:rPr>
                <w:b/>
                <w:sz w:val="22"/>
              </w:rPr>
            </w:pPr>
            <w:r w:rsidRPr="00FE7CE1">
              <w:rPr>
                <w:sz w:val="22"/>
              </w:rPr>
              <w:t>[0,0</w:t>
            </w:r>
            <w:r w:rsidR="00671040" w:rsidRPr="00FE7CE1">
              <w:rPr>
                <w:sz w:val="22"/>
              </w:rPr>
              <w:t> </w:t>
            </w:r>
            <w:r w:rsidRPr="00FE7CE1">
              <w:rPr>
                <w:sz w:val="22"/>
              </w:rPr>
              <w:t>%; 3,7</w:t>
            </w:r>
            <w:r w:rsidR="00671040" w:rsidRPr="00FE7CE1">
              <w:rPr>
                <w:sz w:val="22"/>
              </w:rPr>
              <w:t> </w:t>
            </w:r>
            <w:r w:rsidRPr="00FE7CE1">
              <w:rPr>
                <w:sz w:val="22"/>
              </w:rPr>
              <w:t>%]</w:t>
            </w:r>
          </w:p>
        </w:tc>
        <w:tc>
          <w:tcPr>
            <w:tcW w:w="2537" w:type="dxa"/>
            <w:tcBorders>
              <w:bottom w:val="single" w:sz="12" w:space="0" w:color="000000"/>
              <w:right w:val="single" w:sz="12" w:space="0" w:color="000000"/>
            </w:tcBorders>
            <w:shd w:val="clear" w:color="auto" w:fill="auto"/>
          </w:tcPr>
          <w:p w14:paraId="3EB448F2" w14:textId="7FBA0133" w:rsidR="003A27D6" w:rsidRPr="00FE7CE1" w:rsidRDefault="008A6308">
            <w:pPr>
              <w:pStyle w:val="Normal10pt0"/>
              <w:keepNext/>
              <w:ind w:left="0" w:firstLine="0"/>
              <w:jc w:val="center"/>
              <w:rPr>
                <w:b/>
                <w:sz w:val="22"/>
              </w:rPr>
            </w:pPr>
            <w:r w:rsidRPr="00FE7CE1">
              <w:rPr>
                <w:sz w:val="22"/>
              </w:rPr>
              <w:t>-3,1</w:t>
            </w:r>
            <w:r w:rsidR="00671040" w:rsidRPr="00FE7CE1">
              <w:rPr>
                <w:sz w:val="22"/>
              </w:rPr>
              <w:t> </w:t>
            </w:r>
            <w:r w:rsidRPr="00FE7CE1">
              <w:rPr>
                <w:sz w:val="22"/>
              </w:rPr>
              <w:t>%</w:t>
            </w:r>
          </w:p>
          <w:p w14:paraId="255F50B2" w14:textId="48B8070F" w:rsidR="003A27D6" w:rsidRPr="00FE7CE1" w:rsidRDefault="008A6308">
            <w:pPr>
              <w:pStyle w:val="Normal10pt0"/>
              <w:keepNext/>
              <w:ind w:left="0" w:firstLine="0"/>
              <w:jc w:val="center"/>
              <w:rPr>
                <w:b/>
                <w:sz w:val="22"/>
              </w:rPr>
            </w:pPr>
            <w:r w:rsidRPr="00FE7CE1">
              <w:rPr>
                <w:sz w:val="22"/>
              </w:rPr>
              <w:t>[</w:t>
            </w:r>
            <w:r w:rsidRPr="00FE7CE1">
              <w:rPr>
                <w:sz w:val="22"/>
              </w:rPr>
              <w:noBreakHyphen/>
              <w:t>6,7</w:t>
            </w:r>
            <w:r w:rsidR="00671040" w:rsidRPr="00FE7CE1">
              <w:rPr>
                <w:sz w:val="22"/>
              </w:rPr>
              <w:t> </w:t>
            </w:r>
            <w:r w:rsidRPr="00FE7CE1">
              <w:rPr>
                <w:sz w:val="22"/>
              </w:rPr>
              <w:t>%; 0,4</w:t>
            </w:r>
            <w:r w:rsidR="00671040" w:rsidRPr="00FE7CE1">
              <w:rPr>
                <w:sz w:val="22"/>
              </w:rPr>
              <w:t> </w:t>
            </w:r>
            <w:r w:rsidRPr="00FE7CE1">
              <w:rPr>
                <w:sz w:val="22"/>
              </w:rPr>
              <w:t>%]</w:t>
            </w:r>
          </w:p>
        </w:tc>
      </w:tr>
    </w:tbl>
    <w:p w14:paraId="38493272" w14:textId="41B5B198" w:rsidR="003A27D6" w:rsidRDefault="008A6308">
      <w:pPr>
        <w:pStyle w:val="Normal10pt0"/>
        <w:keepNext/>
      </w:pPr>
      <w:r>
        <w:rPr>
          <w:rStyle w:val="Superscript"/>
        </w:rPr>
        <w:t>a</w:t>
      </w:r>
      <w:r>
        <w:t xml:space="preserve"> Serokonversio määritellään niiden tutkittavien prosenttiosuudeksi, joiden vibriosidinen vasta-ainetitteri oli vähintään nelinkertaistunut lähtötilanteesta 10</w:t>
      </w:r>
      <w:r w:rsidR="00671040">
        <w:t> </w:t>
      </w:r>
      <w:r>
        <w:t>vuorokautta rokotuksesta.</w:t>
      </w:r>
    </w:p>
    <w:p w14:paraId="6B211DF9" w14:textId="77777777" w:rsidR="003A27D6" w:rsidRDefault="008A6308">
      <w:pPr>
        <w:pStyle w:val="Normal10pt0"/>
        <w:keepNext/>
      </w:pPr>
      <w:r>
        <w:rPr>
          <w:rStyle w:val="Superscript"/>
        </w:rPr>
        <w:t>b</w:t>
      </w:r>
      <w:r>
        <w:t xml:space="preserve"> N = niiden tutkittavien lukumäärä, joilta saatiin analysointikelpoisia näytteitä päivänä 1 ja päivänä 11.</w:t>
      </w:r>
    </w:p>
    <w:p w14:paraId="7087BC23" w14:textId="77777777" w:rsidR="003A27D6" w:rsidRDefault="008A6308">
      <w:pPr>
        <w:pStyle w:val="Normal10pt0"/>
        <w:keepNext/>
      </w:pPr>
      <w:r>
        <w:rPr>
          <w:rStyle w:val="Superscript"/>
        </w:rPr>
        <w:t>c</w:t>
      </w:r>
      <w:r>
        <w:t xml:space="preserve"> CI = luottamusväli.</w:t>
      </w:r>
    </w:p>
    <w:p w14:paraId="22496D19" w14:textId="08CBC330" w:rsidR="003A27D6" w:rsidRDefault="008A6308">
      <w:pPr>
        <w:pStyle w:val="Normal10pt0"/>
      </w:pPr>
      <w:r>
        <w:rPr>
          <w:rStyle w:val="Superscript"/>
        </w:rPr>
        <w:t>d</w:t>
      </w:r>
      <w:r>
        <w:t xml:space="preserve"> Vähintään samanveroisuuden (non-inferiority) kriteerit: 18 – &lt; 46</w:t>
      </w:r>
      <w:r>
        <w:noBreakHyphen/>
        <w:t>vuotiaiden aikuisten serokonversioprosentteihin verrattuna erolle määritetyn kaksitahoisen 95</w:t>
      </w:r>
      <w:r w:rsidR="00671040">
        <w:t> </w:t>
      </w:r>
      <w:r>
        <w:t>%:n luottamusvälin alarajan oli oltava suurempi kuin -10</w:t>
      </w:r>
      <w:r w:rsidR="00671040">
        <w:t> </w:t>
      </w:r>
      <w:r>
        <w:t>prosenttiyksikköä ja niiden rokotettujen henkilöiden, joilla todettiin serokonversio 10</w:t>
      </w:r>
      <w:r w:rsidR="00671040">
        <w:t> </w:t>
      </w:r>
      <w:r>
        <w:t>vuorokautta rokotuksen jälkeen, osuudelle määritetyn kaksitahoisen 95</w:t>
      </w:r>
      <w:r w:rsidR="00671040">
        <w:t> </w:t>
      </w:r>
      <w:r>
        <w:t>%:n luottamusvälin alarajan oli oltava 70</w:t>
      </w:r>
      <w:r w:rsidR="00671040">
        <w:t> </w:t>
      </w:r>
      <w:r>
        <w:t>% tai tätä korkeampi.</w:t>
      </w:r>
    </w:p>
    <w:p w14:paraId="75EB1E96" w14:textId="77777777" w:rsidR="003A27D6" w:rsidRDefault="003A27D6"/>
    <w:p w14:paraId="58015DC5" w14:textId="0C0BC775" w:rsidR="003A27D6" w:rsidRDefault="008A6308">
      <w:r>
        <w:t xml:space="preserve">Saatavilla olevat tiedot serokonversioprosenteista muita </w:t>
      </w:r>
      <w:r>
        <w:rPr>
          <w:rStyle w:val="Painotus"/>
        </w:rPr>
        <w:t>V</w:t>
      </w:r>
      <w:r w:rsidR="000E24ED">
        <w:rPr>
          <w:rStyle w:val="Painotus"/>
        </w:rPr>
        <w:t>ibrio</w:t>
      </w:r>
      <w:r>
        <w:t> </w:t>
      </w:r>
      <w:r>
        <w:rPr>
          <w:rStyle w:val="Painotus"/>
        </w:rPr>
        <w:t>cholerae</w:t>
      </w:r>
      <w:r>
        <w:t xml:space="preserve"> -biotyyppejä ja -serotyyppejä vastaan esitetään taulukossa 3. Näiden biotyyppien ja serotyyppien osalta serokonversioprosentteja ei määritetty lapsilta.</w:t>
      </w:r>
    </w:p>
    <w:p w14:paraId="47774361" w14:textId="77777777" w:rsidR="003A27D6" w:rsidRDefault="003A27D6"/>
    <w:p w14:paraId="4560C0E5" w14:textId="10B88CC4" w:rsidR="003A27D6" w:rsidRDefault="008A6308">
      <w:pPr>
        <w:pStyle w:val="TableTitle"/>
        <w:ind w:left="1276" w:hanging="1276"/>
      </w:pPr>
      <w:r>
        <w:lastRenderedPageBreak/>
        <w:t>Taulukko 3: Serokonversioprosentit 10</w:t>
      </w:r>
      <w:r w:rsidR="0002317A">
        <w:t> </w:t>
      </w:r>
      <w:r>
        <w:t xml:space="preserve">vuorokautta rokotuksesta neljän tärkeimmän </w:t>
      </w:r>
      <w:r>
        <w:rPr>
          <w:rStyle w:val="Painotus"/>
        </w:rPr>
        <w:t>V</w:t>
      </w:r>
      <w:r w:rsidR="000E24ED">
        <w:rPr>
          <w:rStyle w:val="Painotus"/>
        </w:rPr>
        <w:t>ibrio</w:t>
      </w:r>
      <w:r>
        <w:rPr>
          <w:rStyle w:val="Painotus"/>
        </w:rPr>
        <w:t> cholerae</w:t>
      </w:r>
      <w:r>
        <w:t xml:space="preserve"> O1-seroryhmän biotyypin ja serotyypin osalta [immunogeenisuuden suhteen arviointikelpoinen populaatio]</w:t>
      </w:r>
    </w:p>
    <w:p w14:paraId="2BD4F72C" w14:textId="77777777" w:rsidR="003A27D6" w:rsidRDefault="003A27D6">
      <w:pPr>
        <w:keepNext/>
      </w:pPr>
    </w:p>
    <w:tbl>
      <w:tblPr>
        <w:tblW w:w="9304" w:type="dxa"/>
        <w:tblCellMar>
          <w:top w:w="85" w:type="dxa"/>
          <w:bottom w:w="85" w:type="dxa"/>
        </w:tblCellMar>
        <w:tblLook w:val="04A0" w:firstRow="1" w:lastRow="0" w:firstColumn="1" w:lastColumn="0" w:noHBand="0" w:noVBand="1"/>
      </w:tblPr>
      <w:tblGrid>
        <w:gridCol w:w="1859"/>
        <w:gridCol w:w="1861"/>
        <w:gridCol w:w="1861"/>
        <w:gridCol w:w="1861"/>
        <w:gridCol w:w="1862"/>
      </w:tblGrid>
      <w:tr w:rsidR="003A27D6" w14:paraId="3DD2BFB4" w14:textId="77777777">
        <w:tc>
          <w:tcPr>
            <w:tcW w:w="1860" w:type="dxa"/>
            <w:vMerge w:val="restart"/>
            <w:tcBorders>
              <w:top w:val="single" w:sz="12" w:space="0" w:color="000000"/>
              <w:left w:val="single" w:sz="12" w:space="0" w:color="000000"/>
            </w:tcBorders>
            <w:shd w:val="clear" w:color="auto" w:fill="auto"/>
            <w:vAlign w:val="bottom"/>
          </w:tcPr>
          <w:p w14:paraId="241B0EA1" w14:textId="77777777" w:rsidR="003A27D6" w:rsidRPr="00AD40D9" w:rsidRDefault="008A6308">
            <w:pPr>
              <w:pStyle w:val="Normal10pt0"/>
              <w:keepNext/>
              <w:ind w:left="0" w:firstLine="0"/>
              <w:jc w:val="both"/>
              <w:rPr>
                <w:rStyle w:val="Strong"/>
                <w:sz w:val="22"/>
              </w:rPr>
            </w:pPr>
            <w:r w:rsidRPr="00FE7CE1">
              <w:rPr>
                <w:rStyle w:val="Strong"/>
                <w:sz w:val="22"/>
              </w:rPr>
              <w:t>Kolerakanta</w:t>
            </w:r>
          </w:p>
        </w:tc>
        <w:tc>
          <w:tcPr>
            <w:tcW w:w="3721" w:type="dxa"/>
            <w:gridSpan w:val="2"/>
            <w:tcBorders>
              <w:top w:val="single" w:sz="12" w:space="0" w:color="000000"/>
            </w:tcBorders>
            <w:shd w:val="clear" w:color="auto" w:fill="auto"/>
          </w:tcPr>
          <w:p w14:paraId="3D0D0071" w14:textId="77777777" w:rsidR="003A27D6" w:rsidRPr="00FE7CE1" w:rsidRDefault="008A6308">
            <w:pPr>
              <w:pStyle w:val="Normal10pt0"/>
              <w:keepNext/>
              <w:ind w:left="0" w:firstLine="0"/>
              <w:jc w:val="center"/>
              <w:rPr>
                <w:rStyle w:val="Strong"/>
                <w:sz w:val="22"/>
              </w:rPr>
            </w:pPr>
            <w:r w:rsidRPr="00FE7CE1">
              <w:rPr>
                <w:rStyle w:val="Strong"/>
                <w:sz w:val="22"/>
              </w:rPr>
              <w:t>Nuoremmat aikuiset</w:t>
            </w:r>
          </w:p>
          <w:p w14:paraId="36D6D39B" w14:textId="77777777" w:rsidR="003A27D6" w:rsidRPr="00FE7CE1" w:rsidRDefault="008A6308">
            <w:pPr>
              <w:pStyle w:val="Normal10pt0"/>
              <w:keepNext/>
              <w:ind w:left="0" w:firstLine="0"/>
              <w:jc w:val="center"/>
              <w:rPr>
                <w:rStyle w:val="Strong"/>
                <w:sz w:val="22"/>
              </w:rPr>
            </w:pPr>
            <w:r w:rsidRPr="00FE7CE1">
              <w:rPr>
                <w:rStyle w:val="Strong"/>
                <w:sz w:val="22"/>
              </w:rPr>
              <w:t>(18–45</w:t>
            </w:r>
            <w:r w:rsidRPr="00FE7CE1">
              <w:rPr>
                <w:rStyle w:val="Strong"/>
                <w:sz w:val="22"/>
              </w:rPr>
              <w:noBreakHyphen/>
              <w:t>vuotiaat)</w:t>
            </w:r>
          </w:p>
          <w:p w14:paraId="6A80B201" w14:textId="77777777" w:rsidR="003A27D6" w:rsidRPr="00FE7CE1" w:rsidRDefault="008A6308">
            <w:pPr>
              <w:pStyle w:val="Normal10pt0"/>
              <w:keepNext/>
              <w:ind w:left="0" w:firstLine="0"/>
              <w:jc w:val="center"/>
              <w:rPr>
                <w:rStyle w:val="Strong"/>
                <w:sz w:val="22"/>
              </w:rPr>
            </w:pPr>
            <w:r w:rsidRPr="00FE7CE1">
              <w:rPr>
                <w:rStyle w:val="Strong"/>
                <w:sz w:val="22"/>
              </w:rPr>
              <w:t>Vaxchora</w:t>
            </w:r>
          </w:p>
        </w:tc>
        <w:tc>
          <w:tcPr>
            <w:tcW w:w="3723" w:type="dxa"/>
            <w:gridSpan w:val="2"/>
            <w:tcBorders>
              <w:top w:val="single" w:sz="12" w:space="0" w:color="000000"/>
              <w:right w:val="single" w:sz="12" w:space="0" w:color="000000"/>
            </w:tcBorders>
            <w:shd w:val="clear" w:color="auto" w:fill="auto"/>
          </w:tcPr>
          <w:p w14:paraId="6639C241" w14:textId="77777777" w:rsidR="003A27D6" w:rsidRPr="00FE7CE1" w:rsidRDefault="008A6308">
            <w:pPr>
              <w:pStyle w:val="Normal10pt0"/>
              <w:keepNext/>
              <w:ind w:left="0" w:firstLine="0"/>
              <w:jc w:val="center"/>
              <w:rPr>
                <w:rStyle w:val="Strong"/>
                <w:sz w:val="22"/>
              </w:rPr>
            </w:pPr>
            <w:r w:rsidRPr="00FE7CE1">
              <w:rPr>
                <w:rStyle w:val="Strong"/>
                <w:sz w:val="22"/>
              </w:rPr>
              <w:t>Iäkkäämmät aikuiset</w:t>
            </w:r>
          </w:p>
          <w:p w14:paraId="50DE150C" w14:textId="77777777" w:rsidR="003A27D6" w:rsidRPr="00FE7CE1" w:rsidRDefault="008A6308">
            <w:pPr>
              <w:pStyle w:val="Normal10pt0"/>
              <w:keepNext/>
              <w:ind w:left="0" w:firstLine="0"/>
              <w:jc w:val="center"/>
              <w:rPr>
                <w:rStyle w:val="Strong"/>
                <w:sz w:val="22"/>
              </w:rPr>
            </w:pPr>
            <w:r w:rsidRPr="00FE7CE1">
              <w:rPr>
                <w:rStyle w:val="Strong"/>
                <w:sz w:val="22"/>
              </w:rPr>
              <w:t>(46–64</w:t>
            </w:r>
            <w:r w:rsidRPr="00FE7CE1">
              <w:rPr>
                <w:rStyle w:val="Strong"/>
                <w:sz w:val="22"/>
              </w:rPr>
              <w:noBreakHyphen/>
              <w:t>vuotiaat)</w:t>
            </w:r>
          </w:p>
          <w:p w14:paraId="72DA5A9A" w14:textId="77777777" w:rsidR="003A27D6" w:rsidRPr="00FE7CE1" w:rsidRDefault="008A6308">
            <w:pPr>
              <w:pStyle w:val="Normal10pt0"/>
              <w:keepNext/>
              <w:ind w:left="0" w:firstLine="0"/>
              <w:jc w:val="center"/>
              <w:rPr>
                <w:rStyle w:val="Strong"/>
                <w:sz w:val="22"/>
              </w:rPr>
            </w:pPr>
            <w:r w:rsidRPr="00FE7CE1">
              <w:rPr>
                <w:rStyle w:val="Strong"/>
                <w:sz w:val="22"/>
              </w:rPr>
              <w:t>Vaxchora</w:t>
            </w:r>
          </w:p>
        </w:tc>
      </w:tr>
      <w:tr w:rsidR="003A27D6" w14:paraId="3FD9ECA2" w14:textId="77777777">
        <w:tc>
          <w:tcPr>
            <w:tcW w:w="1860" w:type="dxa"/>
            <w:vMerge/>
            <w:tcBorders>
              <w:left w:val="single" w:sz="12" w:space="0" w:color="000000"/>
              <w:bottom w:val="single" w:sz="12" w:space="0" w:color="000000"/>
            </w:tcBorders>
            <w:shd w:val="clear" w:color="auto" w:fill="auto"/>
          </w:tcPr>
          <w:p w14:paraId="59113CAC" w14:textId="77777777" w:rsidR="003A27D6" w:rsidRPr="00FE7CE1" w:rsidRDefault="003A27D6">
            <w:pPr>
              <w:pStyle w:val="Normal10pt0"/>
              <w:keepNext/>
              <w:ind w:left="0" w:firstLine="0"/>
              <w:jc w:val="both"/>
              <w:rPr>
                <w:sz w:val="22"/>
              </w:rPr>
            </w:pPr>
          </w:p>
        </w:tc>
        <w:tc>
          <w:tcPr>
            <w:tcW w:w="1861" w:type="dxa"/>
            <w:tcBorders>
              <w:bottom w:val="single" w:sz="12" w:space="0" w:color="000000"/>
            </w:tcBorders>
            <w:shd w:val="clear" w:color="auto" w:fill="auto"/>
            <w:vAlign w:val="center"/>
          </w:tcPr>
          <w:p w14:paraId="05517BFD" w14:textId="77777777" w:rsidR="003A27D6" w:rsidRPr="00FE7CE1" w:rsidRDefault="008A6308">
            <w:pPr>
              <w:pStyle w:val="Normal10pt0"/>
              <w:keepNext/>
              <w:ind w:left="0" w:firstLine="0"/>
              <w:jc w:val="center"/>
              <w:rPr>
                <w:sz w:val="22"/>
              </w:rPr>
            </w:pPr>
            <w:r w:rsidRPr="00FE7CE1">
              <w:rPr>
                <w:sz w:val="22"/>
              </w:rPr>
              <w:t>N</w:t>
            </w:r>
            <w:r w:rsidRPr="00FE7CE1">
              <w:rPr>
                <w:rStyle w:val="Superscript"/>
                <w:sz w:val="22"/>
              </w:rPr>
              <w:t>a</w:t>
            </w:r>
          </w:p>
        </w:tc>
        <w:tc>
          <w:tcPr>
            <w:tcW w:w="1861" w:type="dxa"/>
            <w:tcBorders>
              <w:bottom w:val="single" w:sz="12" w:space="0" w:color="000000"/>
            </w:tcBorders>
            <w:shd w:val="clear" w:color="auto" w:fill="auto"/>
          </w:tcPr>
          <w:p w14:paraId="220E42CC" w14:textId="77777777" w:rsidR="003A27D6" w:rsidRPr="00FE7CE1" w:rsidRDefault="008A6308">
            <w:pPr>
              <w:pStyle w:val="Normal10pt0"/>
              <w:keepNext/>
              <w:ind w:left="0" w:firstLine="0"/>
              <w:jc w:val="center"/>
              <w:rPr>
                <w:rStyle w:val="Superscript"/>
                <w:sz w:val="22"/>
              </w:rPr>
            </w:pPr>
            <w:r w:rsidRPr="00FE7CE1">
              <w:rPr>
                <w:sz w:val="22"/>
              </w:rPr>
              <w:t>%</w:t>
            </w:r>
            <w:r w:rsidRPr="00FE7CE1">
              <w:rPr>
                <w:rStyle w:val="Superscript"/>
                <w:sz w:val="22"/>
              </w:rPr>
              <w:t>b</w:t>
            </w:r>
          </w:p>
          <w:p w14:paraId="18255431" w14:textId="633B15E8" w:rsidR="003A27D6" w:rsidRPr="00FE7CE1" w:rsidRDefault="008A6308">
            <w:pPr>
              <w:pStyle w:val="Normal10pt0"/>
              <w:keepNext/>
              <w:ind w:left="0" w:firstLine="0"/>
              <w:jc w:val="center"/>
              <w:rPr>
                <w:b/>
                <w:sz w:val="22"/>
              </w:rPr>
            </w:pPr>
            <w:r w:rsidRPr="00FE7CE1">
              <w:rPr>
                <w:sz w:val="22"/>
              </w:rPr>
              <w:t>[95</w:t>
            </w:r>
            <w:r w:rsidR="00671040" w:rsidRPr="00FE7CE1">
              <w:rPr>
                <w:sz w:val="22"/>
              </w:rPr>
              <w:t> </w:t>
            </w:r>
            <w:r w:rsidRPr="00FE7CE1">
              <w:rPr>
                <w:sz w:val="22"/>
              </w:rPr>
              <w:t>%:n CI</w:t>
            </w:r>
            <w:r w:rsidRPr="00FE7CE1">
              <w:rPr>
                <w:rStyle w:val="Superscript"/>
                <w:sz w:val="22"/>
              </w:rPr>
              <w:t>c</w:t>
            </w:r>
            <w:r w:rsidRPr="00FE7CE1">
              <w:rPr>
                <w:sz w:val="22"/>
              </w:rPr>
              <w:t>]</w:t>
            </w:r>
          </w:p>
        </w:tc>
        <w:tc>
          <w:tcPr>
            <w:tcW w:w="1861" w:type="dxa"/>
            <w:tcBorders>
              <w:bottom w:val="single" w:sz="12" w:space="0" w:color="000000"/>
            </w:tcBorders>
            <w:shd w:val="clear" w:color="auto" w:fill="auto"/>
            <w:vAlign w:val="center"/>
          </w:tcPr>
          <w:p w14:paraId="6B1BAB99" w14:textId="77777777" w:rsidR="003A27D6" w:rsidRPr="00FE7CE1" w:rsidRDefault="008A6308">
            <w:pPr>
              <w:pStyle w:val="Normal10pt0"/>
              <w:keepNext/>
              <w:ind w:left="0" w:firstLine="0"/>
              <w:jc w:val="center"/>
              <w:rPr>
                <w:b/>
                <w:sz w:val="22"/>
              </w:rPr>
            </w:pPr>
            <w:r w:rsidRPr="00FE7CE1">
              <w:rPr>
                <w:sz w:val="22"/>
              </w:rPr>
              <w:t>N</w:t>
            </w:r>
            <w:r w:rsidRPr="00FE7CE1">
              <w:rPr>
                <w:rStyle w:val="Superscript"/>
                <w:sz w:val="22"/>
              </w:rPr>
              <w:t>a</w:t>
            </w:r>
          </w:p>
        </w:tc>
        <w:tc>
          <w:tcPr>
            <w:tcW w:w="1861" w:type="dxa"/>
            <w:tcBorders>
              <w:bottom w:val="single" w:sz="12" w:space="0" w:color="000000"/>
              <w:right w:val="single" w:sz="12" w:space="0" w:color="000000"/>
            </w:tcBorders>
            <w:shd w:val="clear" w:color="auto" w:fill="auto"/>
          </w:tcPr>
          <w:p w14:paraId="1F92F795" w14:textId="77777777" w:rsidR="003A27D6" w:rsidRPr="00FE7CE1" w:rsidRDefault="008A6308">
            <w:pPr>
              <w:pStyle w:val="Normal10pt0"/>
              <w:keepNext/>
              <w:ind w:left="0" w:firstLine="0"/>
              <w:jc w:val="center"/>
              <w:rPr>
                <w:b/>
                <w:sz w:val="22"/>
              </w:rPr>
            </w:pPr>
            <w:r w:rsidRPr="00FE7CE1">
              <w:rPr>
                <w:sz w:val="22"/>
              </w:rPr>
              <w:t>%</w:t>
            </w:r>
          </w:p>
          <w:p w14:paraId="6430D14A" w14:textId="504CD2E9" w:rsidR="003A27D6" w:rsidRPr="00FE7CE1" w:rsidRDefault="008A6308">
            <w:pPr>
              <w:pStyle w:val="Normal10pt0"/>
              <w:keepNext/>
              <w:ind w:left="0" w:firstLine="0"/>
              <w:jc w:val="center"/>
              <w:rPr>
                <w:b/>
                <w:sz w:val="22"/>
              </w:rPr>
            </w:pPr>
            <w:r w:rsidRPr="00FE7CE1">
              <w:rPr>
                <w:sz w:val="22"/>
              </w:rPr>
              <w:t>[95</w:t>
            </w:r>
            <w:r w:rsidR="00671040" w:rsidRPr="00FE7CE1">
              <w:rPr>
                <w:sz w:val="22"/>
              </w:rPr>
              <w:t> </w:t>
            </w:r>
            <w:r w:rsidRPr="00FE7CE1">
              <w:rPr>
                <w:sz w:val="22"/>
              </w:rPr>
              <w:t>%:n CI]</w:t>
            </w:r>
          </w:p>
        </w:tc>
      </w:tr>
      <w:tr w:rsidR="003A27D6" w14:paraId="43F4394D" w14:textId="77777777">
        <w:tc>
          <w:tcPr>
            <w:tcW w:w="1860" w:type="dxa"/>
            <w:tcBorders>
              <w:top w:val="single" w:sz="12" w:space="0" w:color="000000"/>
              <w:left w:val="single" w:sz="12" w:space="0" w:color="000000"/>
            </w:tcBorders>
            <w:shd w:val="clear" w:color="auto" w:fill="auto"/>
            <w:vAlign w:val="center"/>
          </w:tcPr>
          <w:p w14:paraId="2657DA25" w14:textId="77777777" w:rsidR="003A27D6" w:rsidRPr="00FE7CE1" w:rsidRDefault="008A6308">
            <w:pPr>
              <w:pStyle w:val="Normal10pt0"/>
              <w:keepNext/>
              <w:ind w:left="0" w:firstLine="0"/>
              <w:jc w:val="both"/>
              <w:rPr>
                <w:b/>
                <w:sz w:val="22"/>
              </w:rPr>
            </w:pPr>
            <w:r w:rsidRPr="00FE7CE1">
              <w:rPr>
                <w:sz w:val="22"/>
              </w:rPr>
              <w:t>Klassinen Inaba</w:t>
            </w:r>
            <w:r w:rsidRPr="00FE7CE1">
              <w:rPr>
                <w:rStyle w:val="Superscript"/>
                <w:sz w:val="22"/>
              </w:rPr>
              <w:t>d</w:t>
            </w:r>
          </w:p>
        </w:tc>
        <w:tc>
          <w:tcPr>
            <w:tcW w:w="1861" w:type="dxa"/>
            <w:tcBorders>
              <w:top w:val="single" w:sz="12" w:space="0" w:color="000000"/>
            </w:tcBorders>
            <w:shd w:val="clear" w:color="auto" w:fill="auto"/>
            <w:vAlign w:val="center"/>
          </w:tcPr>
          <w:p w14:paraId="1358885F" w14:textId="77777777" w:rsidR="003A27D6" w:rsidRPr="00FE7CE1" w:rsidRDefault="008A6308">
            <w:pPr>
              <w:pStyle w:val="Normal10pt0"/>
              <w:keepNext/>
              <w:ind w:left="0" w:firstLine="0"/>
              <w:jc w:val="center"/>
              <w:rPr>
                <w:b/>
                <w:sz w:val="22"/>
              </w:rPr>
            </w:pPr>
            <w:r w:rsidRPr="00FE7CE1">
              <w:rPr>
                <w:sz w:val="22"/>
              </w:rPr>
              <w:t>93</w:t>
            </w:r>
          </w:p>
        </w:tc>
        <w:tc>
          <w:tcPr>
            <w:tcW w:w="1861" w:type="dxa"/>
            <w:tcBorders>
              <w:top w:val="single" w:sz="12" w:space="0" w:color="000000"/>
            </w:tcBorders>
            <w:shd w:val="clear" w:color="auto" w:fill="auto"/>
            <w:vAlign w:val="center"/>
          </w:tcPr>
          <w:p w14:paraId="46747090" w14:textId="054A9B09" w:rsidR="003A27D6" w:rsidRPr="00FE7CE1" w:rsidRDefault="008A6308">
            <w:pPr>
              <w:pStyle w:val="Normal10pt0"/>
              <w:keepNext/>
              <w:ind w:left="0" w:firstLine="0"/>
              <w:jc w:val="center"/>
              <w:rPr>
                <w:b/>
                <w:sz w:val="22"/>
              </w:rPr>
            </w:pPr>
            <w:r w:rsidRPr="00FE7CE1">
              <w:rPr>
                <w:sz w:val="22"/>
              </w:rPr>
              <w:t>90,3</w:t>
            </w:r>
            <w:r w:rsidR="00671040" w:rsidRPr="00FE7CE1">
              <w:rPr>
                <w:sz w:val="22"/>
              </w:rPr>
              <w:t> </w:t>
            </w:r>
            <w:r w:rsidRPr="00FE7CE1">
              <w:rPr>
                <w:sz w:val="22"/>
              </w:rPr>
              <w:t>%</w:t>
            </w:r>
          </w:p>
          <w:p w14:paraId="7C0F2C29" w14:textId="34E681BC" w:rsidR="003A27D6" w:rsidRPr="00FE7CE1" w:rsidRDefault="008A6308">
            <w:pPr>
              <w:pStyle w:val="Normal10pt0"/>
              <w:keepNext/>
              <w:ind w:left="0" w:firstLine="0"/>
              <w:jc w:val="center"/>
              <w:rPr>
                <w:b/>
                <w:sz w:val="22"/>
              </w:rPr>
            </w:pPr>
            <w:r w:rsidRPr="00FE7CE1">
              <w:rPr>
                <w:sz w:val="22"/>
              </w:rPr>
              <w:t>[82,4</w:t>
            </w:r>
            <w:r w:rsidR="00671040" w:rsidRPr="00FE7CE1">
              <w:rPr>
                <w:sz w:val="22"/>
              </w:rPr>
              <w:t> </w:t>
            </w:r>
            <w:r w:rsidRPr="00FE7CE1">
              <w:rPr>
                <w:sz w:val="22"/>
              </w:rPr>
              <w:t>%; 95,5</w:t>
            </w:r>
            <w:r w:rsidR="00671040" w:rsidRPr="00FE7CE1">
              <w:rPr>
                <w:sz w:val="22"/>
              </w:rPr>
              <w:t> </w:t>
            </w:r>
            <w:r w:rsidRPr="00FE7CE1">
              <w:rPr>
                <w:sz w:val="22"/>
              </w:rPr>
              <w:t>%]</w:t>
            </w:r>
          </w:p>
        </w:tc>
        <w:tc>
          <w:tcPr>
            <w:tcW w:w="1861" w:type="dxa"/>
            <w:tcBorders>
              <w:top w:val="single" w:sz="12" w:space="0" w:color="000000"/>
            </w:tcBorders>
            <w:shd w:val="clear" w:color="auto" w:fill="auto"/>
            <w:vAlign w:val="center"/>
          </w:tcPr>
          <w:p w14:paraId="6D1E17A7" w14:textId="77777777" w:rsidR="003A27D6" w:rsidRPr="00FE7CE1" w:rsidRDefault="008A6308">
            <w:pPr>
              <w:pStyle w:val="Normal10pt0"/>
              <w:keepNext/>
              <w:ind w:left="0" w:firstLine="0"/>
              <w:jc w:val="center"/>
              <w:rPr>
                <w:b/>
                <w:sz w:val="22"/>
              </w:rPr>
            </w:pPr>
            <w:r w:rsidRPr="00FE7CE1">
              <w:rPr>
                <w:sz w:val="22"/>
              </w:rPr>
              <w:t>291</w:t>
            </w:r>
          </w:p>
        </w:tc>
        <w:tc>
          <w:tcPr>
            <w:tcW w:w="1861" w:type="dxa"/>
            <w:tcBorders>
              <w:top w:val="single" w:sz="12" w:space="0" w:color="000000"/>
              <w:right w:val="single" w:sz="12" w:space="0" w:color="000000"/>
            </w:tcBorders>
            <w:shd w:val="clear" w:color="auto" w:fill="auto"/>
            <w:vAlign w:val="center"/>
          </w:tcPr>
          <w:p w14:paraId="367E5E20" w14:textId="26CF04B4" w:rsidR="003A27D6" w:rsidRPr="00FE7CE1" w:rsidRDefault="008A6308">
            <w:pPr>
              <w:pStyle w:val="Normal10pt0"/>
              <w:keepNext/>
              <w:ind w:left="0" w:firstLine="0"/>
              <w:jc w:val="center"/>
              <w:rPr>
                <w:b/>
                <w:sz w:val="22"/>
              </w:rPr>
            </w:pPr>
            <w:r w:rsidRPr="00FE7CE1">
              <w:rPr>
                <w:sz w:val="22"/>
              </w:rPr>
              <w:t>90,4</w:t>
            </w:r>
            <w:r w:rsidR="00671040" w:rsidRPr="00FE7CE1">
              <w:rPr>
                <w:sz w:val="22"/>
              </w:rPr>
              <w:t> </w:t>
            </w:r>
            <w:r w:rsidRPr="00FE7CE1">
              <w:rPr>
                <w:sz w:val="22"/>
              </w:rPr>
              <w:t>%</w:t>
            </w:r>
          </w:p>
          <w:p w14:paraId="28EDC03A" w14:textId="11DB8C6A" w:rsidR="003A27D6" w:rsidRPr="00FE7CE1" w:rsidRDefault="008A6308">
            <w:pPr>
              <w:pStyle w:val="Normal10pt0"/>
              <w:keepNext/>
              <w:ind w:left="0" w:firstLine="0"/>
              <w:jc w:val="center"/>
              <w:rPr>
                <w:b/>
                <w:sz w:val="22"/>
              </w:rPr>
            </w:pPr>
            <w:r w:rsidRPr="00FE7CE1">
              <w:rPr>
                <w:sz w:val="22"/>
              </w:rPr>
              <w:t>[86,4</w:t>
            </w:r>
            <w:r w:rsidR="00671040" w:rsidRPr="00FE7CE1">
              <w:rPr>
                <w:sz w:val="22"/>
              </w:rPr>
              <w:t> </w:t>
            </w:r>
            <w:r w:rsidRPr="00FE7CE1">
              <w:rPr>
                <w:sz w:val="22"/>
              </w:rPr>
              <w:t>%; 93,5</w:t>
            </w:r>
            <w:r w:rsidR="00671040" w:rsidRPr="00FE7CE1">
              <w:rPr>
                <w:sz w:val="22"/>
              </w:rPr>
              <w:t> </w:t>
            </w:r>
            <w:r w:rsidRPr="00FE7CE1">
              <w:rPr>
                <w:sz w:val="22"/>
              </w:rPr>
              <w:t>%]</w:t>
            </w:r>
          </w:p>
        </w:tc>
      </w:tr>
      <w:tr w:rsidR="003A27D6" w14:paraId="1CE2F05D" w14:textId="77777777">
        <w:tc>
          <w:tcPr>
            <w:tcW w:w="1860" w:type="dxa"/>
            <w:tcBorders>
              <w:left w:val="single" w:sz="12" w:space="0" w:color="000000"/>
            </w:tcBorders>
            <w:shd w:val="clear" w:color="auto" w:fill="auto"/>
            <w:vAlign w:val="center"/>
          </w:tcPr>
          <w:p w14:paraId="0B471CB6" w14:textId="77777777" w:rsidR="003A27D6" w:rsidRPr="00FE7CE1" w:rsidRDefault="008A6308">
            <w:pPr>
              <w:pStyle w:val="Normal10pt0"/>
              <w:keepNext/>
              <w:ind w:left="0" w:firstLine="0"/>
              <w:jc w:val="both"/>
              <w:rPr>
                <w:b/>
                <w:sz w:val="22"/>
              </w:rPr>
            </w:pPr>
            <w:r w:rsidRPr="00FE7CE1">
              <w:rPr>
                <w:sz w:val="22"/>
              </w:rPr>
              <w:t>El Tor Inaba</w:t>
            </w:r>
          </w:p>
        </w:tc>
        <w:tc>
          <w:tcPr>
            <w:tcW w:w="1861" w:type="dxa"/>
            <w:shd w:val="clear" w:color="auto" w:fill="auto"/>
            <w:vAlign w:val="center"/>
          </w:tcPr>
          <w:p w14:paraId="42252E82" w14:textId="77777777" w:rsidR="003A27D6" w:rsidRPr="00FE7CE1" w:rsidRDefault="008A6308">
            <w:pPr>
              <w:pStyle w:val="Normal10pt0"/>
              <w:keepNext/>
              <w:ind w:left="0" w:firstLine="0"/>
              <w:jc w:val="center"/>
              <w:rPr>
                <w:b/>
                <w:sz w:val="22"/>
              </w:rPr>
            </w:pPr>
            <w:r w:rsidRPr="00FE7CE1">
              <w:rPr>
                <w:sz w:val="22"/>
              </w:rPr>
              <w:t>93</w:t>
            </w:r>
          </w:p>
        </w:tc>
        <w:tc>
          <w:tcPr>
            <w:tcW w:w="1861" w:type="dxa"/>
            <w:shd w:val="clear" w:color="auto" w:fill="auto"/>
            <w:vAlign w:val="center"/>
          </w:tcPr>
          <w:p w14:paraId="27761A81" w14:textId="5B4D6391" w:rsidR="003A27D6" w:rsidRPr="00FE7CE1" w:rsidRDefault="008A6308">
            <w:pPr>
              <w:pStyle w:val="Normal10pt0"/>
              <w:keepNext/>
              <w:ind w:left="0" w:firstLine="0"/>
              <w:jc w:val="center"/>
              <w:rPr>
                <w:b/>
                <w:sz w:val="22"/>
              </w:rPr>
            </w:pPr>
            <w:r w:rsidRPr="00FE7CE1">
              <w:rPr>
                <w:sz w:val="22"/>
              </w:rPr>
              <w:t>91,4</w:t>
            </w:r>
            <w:r w:rsidR="00671040" w:rsidRPr="00FE7CE1">
              <w:rPr>
                <w:sz w:val="22"/>
              </w:rPr>
              <w:t> </w:t>
            </w:r>
            <w:r w:rsidRPr="00FE7CE1">
              <w:rPr>
                <w:sz w:val="22"/>
              </w:rPr>
              <w:t>%</w:t>
            </w:r>
          </w:p>
          <w:p w14:paraId="78E38234" w14:textId="25F531E7" w:rsidR="003A27D6" w:rsidRPr="00FE7CE1" w:rsidRDefault="008A6308">
            <w:pPr>
              <w:pStyle w:val="Normal10pt0"/>
              <w:keepNext/>
              <w:ind w:left="0" w:firstLine="0"/>
              <w:jc w:val="center"/>
              <w:rPr>
                <w:b/>
                <w:sz w:val="22"/>
              </w:rPr>
            </w:pPr>
            <w:r w:rsidRPr="00FE7CE1">
              <w:rPr>
                <w:sz w:val="22"/>
              </w:rPr>
              <w:t>[83,8</w:t>
            </w:r>
            <w:r w:rsidR="00671040" w:rsidRPr="00FE7CE1">
              <w:rPr>
                <w:sz w:val="22"/>
              </w:rPr>
              <w:t> </w:t>
            </w:r>
            <w:r w:rsidRPr="00FE7CE1">
              <w:rPr>
                <w:sz w:val="22"/>
              </w:rPr>
              <w:t>%; 96,2</w:t>
            </w:r>
            <w:r w:rsidR="00671040" w:rsidRPr="00FE7CE1">
              <w:rPr>
                <w:sz w:val="22"/>
              </w:rPr>
              <w:t> </w:t>
            </w:r>
            <w:r w:rsidRPr="00FE7CE1">
              <w:rPr>
                <w:sz w:val="22"/>
              </w:rPr>
              <w:t>%]</w:t>
            </w:r>
          </w:p>
        </w:tc>
        <w:tc>
          <w:tcPr>
            <w:tcW w:w="1861" w:type="dxa"/>
            <w:shd w:val="clear" w:color="auto" w:fill="auto"/>
            <w:vAlign w:val="center"/>
          </w:tcPr>
          <w:p w14:paraId="4B06FFB3" w14:textId="77777777" w:rsidR="003A27D6" w:rsidRPr="00FE7CE1" w:rsidRDefault="008A6308">
            <w:pPr>
              <w:pStyle w:val="Normal10pt0"/>
              <w:keepNext/>
              <w:ind w:left="0" w:firstLine="0"/>
              <w:jc w:val="center"/>
              <w:rPr>
                <w:b/>
                <w:sz w:val="22"/>
              </w:rPr>
            </w:pPr>
            <w:r w:rsidRPr="00FE7CE1">
              <w:rPr>
                <w:sz w:val="22"/>
              </w:rPr>
              <w:t>290</w:t>
            </w:r>
          </w:p>
        </w:tc>
        <w:tc>
          <w:tcPr>
            <w:tcW w:w="1861" w:type="dxa"/>
            <w:tcBorders>
              <w:right w:val="single" w:sz="12" w:space="0" w:color="000000"/>
            </w:tcBorders>
            <w:shd w:val="clear" w:color="auto" w:fill="auto"/>
            <w:vAlign w:val="center"/>
          </w:tcPr>
          <w:p w14:paraId="668C44C6" w14:textId="44DB4141" w:rsidR="003A27D6" w:rsidRPr="00FE7CE1" w:rsidRDefault="008A6308">
            <w:pPr>
              <w:pStyle w:val="Normal10pt0"/>
              <w:keepNext/>
              <w:ind w:left="0" w:firstLine="0"/>
              <w:jc w:val="center"/>
              <w:rPr>
                <w:b/>
                <w:sz w:val="22"/>
              </w:rPr>
            </w:pPr>
            <w:r w:rsidRPr="00FE7CE1">
              <w:rPr>
                <w:sz w:val="22"/>
              </w:rPr>
              <w:t>91,0</w:t>
            </w:r>
            <w:r w:rsidR="00671040" w:rsidRPr="00FE7CE1">
              <w:rPr>
                <w:sz w:val="22"/>
              </w:rPr>
              <w:t> </w:t>
            </w:r>
            <w:r w:rsidRPr="00FE7CE1">
              <w:rPr>
                <w:sz w:val="22"/>
              </w:rPr>
              <w:t>%</w:t>
            </w:r>
          </w:p>
          <w:p w14:paraId="2E375C76" w14:textId="3DE03C38" w:rsidR="003A27D6" w:rsidRPr="00FE7CE1" w:rsidRDefault="008A6308">
            <w:pPr>
              <w:pStyle w:val="Normal10pt0"/>
              <w:keepNext/>
              <w:ind w:left="0" w:firstLine="0"/>
              <w:jc w:val="center"/>
              <w:rPr>
                <w:b/>
                <w:sz w:val="22"/>
              </w:rPr>
            </w:pPr>
            <w:r w:rsidRPr="00FE7CE1">
              <w:rPr>
                <w:sz w:val="22"/>
              </w:rPr>
              <w:t>[87,1</w:t>
            </w:r>
            <w:r w:rsidR="00671040" w:rsidRPr="00FE7CE1">
              <w:rPr>
                <w:sz w:val="22"/>
              </w:rPr>
              <w:t> </w:t>
            </w:r>
            <w:r w:rsidRPr="00FE7CE1">
              <w:rPr>
                <w:sz w:val="22"/>
              </w:rPr>
              <w:t>%; 94,1</w:t>
            </w:r>
            <w:r w:rsidR="00671040" w:rsidRPr="00FE7CE1">
              <w:rPr>
                <w:sz w:val="22"/>
              </w:rPr>
              <w:t> </w:t>
            </w:r>
            <w:r w:rsidRPr="00FE7CE1">
              <w:rPr>
                <w:sz w:val="22"/>
              </w:rPr>
              <w:t>%]</w:t>
            </w:r>
          </w:p>
        </w:tc>
      </w:tr>
      <w:tr w:rsidR="003A27D6" w14:paraId="102051FC" w14:textId="77777777">
        <w:tc>
          <w:tcPr>
            <w:tcW w:w="1860" w:type="dxa"/>
            <w:tcBorders>
              <w:left w:val="single" w:sz="12" w:space="0" w:color="000000"/>
            </w:tcBorders>
            <w:shd w:val="clear" w:color="auto" w:fill="auto"/>
            <w:vAlign w:val="center"/>
          </w:tcPr>
          <w:p w14:paraId="492BDCED" w14:textId="77777777" w:rsidR="003A27D6" w:rsidRPr="00FE7CE1" w:rsidRDefault="008A6308">
            <w:pPr>
              <w:pStyle w:val="Normal10pt0"/>
              <w:keepNext/>
              <w:ind w:left="0" w:firstLine="0"/>
              <w:jc w:val="both"/>
              <w:rPr>
                <w:b/>
                <w:sz w:val="22"/>
              </w:rPr>
            </w:pPr>
            <w:r w:rsidRPr="00FE7CE1">
              <w:rPr>
                <w:sz w:val="22"/>
              </w:rPr>
              <w:t>Klassinen Ogawa</w:t>
            </w:r>
          </w:p>
        </w:tc>
        <w:tc>
          <w:tcPr>
            <w:tcW w:w="1861" w:type="dxa"/>
            <w:shd w:val="clear" w:color="auto" w:fill="auto"/>
            <w:vAlign w:val="center"/>
          </w:tcPr>
          <w:p w14:paraId="32C75254" w14:textId="77777777" w:rsidR="003A27D6" w:rsidRPr="00FE7CE1" w:rsidRDefault="008A6308">
            <w:pPr>
              <w:pStyle w:val="Normal10pt0"/>
              <w:keepNext/>
              <w:ind w:left="0" w:firstLine="0"/>
              <w:jc w:val="center"/>
              <w:rPr>
                <w:b/>
                <w:sz w:val="22"/>
              </w:rPr>
            </w:pPr>
            <w:r w:rsidRPr="00FE7CE1">
              <w:rPr>
                <w:sz w:val="22"/>
              </w:rPr>
              <w:t>93</w:t>
            </w:r>
          </w:p>
        </w:tc>
        <w:tc>
          <w:tcPr>
            <w:tcW w:w="1861" w:type="dxa"/>
            <w:shd w:val="clear" w:color="auto" w:fill="auto"/>
            <w:vAlign w:val="center"/>
          </w:tcPr>
          <w:p w14:paraId="23AE3F60" w14:textId="274B52AA" w:rsidR="003A27D6" w:rsidRPr="00FE7CE1" w:rsidRDefault="008A6308">
            <w:pPr>
              <w:pStyle w:val="Normal10pt0"/>
              <w:keepNext/>
              <w:ind w:left="0" w:firstLine="0"/>
              <w:jc w:val="center"/>
              <w:rPr>
                <w:b/>
                <w:sz w:val="22"/>
              </w:rPr>
            </w:pPr>
            <w:r w:rsidRPr="00FE7CE1">
              <w:rPr>
                <w:sz w:val="22"/>
              </w:rPr>
              <w:t>87,1</w:t>
            </w:r>
            <w:r w:rsidR="00671040" w:rsidRPr="00FE7CE1">
              <w:rPr>
                <w:sz w:val="22"/>
              </w:rPr>
              <w:t> </w:t>
            </w:r>
            <w:r w:rsidRPr="00FE7CE1">
              <w:rPr>
                <w:sz w:val="22"/>
              </w:rPr>
              <w:t>%</w:t>
            </w:r>
          </w:p>
          <w:p w14:paraId="6EC21E10" w14:textId="3D1A62AA" w:rsidR="003A27D6" w:rsidRPr="00FE7CE1" w:rsidRDefault="008A6308">
            <w:pPr>
              <w:pStyle w:val="Normal10pt0"/>
              <w:keepNext/>
              <w:ind w:left="0" w:firstLine="0"/>
              <w:jc w:val="center"/>
              <w:rPr>
                <w:b/>
                <w:sz w:val="22"/>
              </w:rPr>
            </w:pPr>
            <w:r w:rsidRPr="00FE7CE1">
              <w:rPr>
                <w:sz w:val="22"/>
              </w:rPr>
              <w:t>[78,5</w:t>
            </w:r>
            <w:r w:rsidR="00671040" w:rsidRPr="00FE7CE1">
              <w:rPr>
                <w:sz w:val="22"/>
              </w:rPr>
              <w:t> </w:t>
            </w:r>
            <w:r w:rsidRPr="00FE7CE1">
              <w:rPr>
                <w:sz w:val="22"/>
              </w:rPr>
              <w:t>%; 93,2</w:t>
            </w:r>
            <w:r w:rsidR="00671040" w:rsidRPr="00FE7CE1">
              <w:rPr>
                <w:sz w:val="22"/>
              </w:rPr>
              <w:t> </w:t>
            </w:r>
            <w:r w:rsidRPr="00FE7CE1">
              <w:rPr>
                <w:sz w:val="22"/>
              </w:rPr>
              <w:t>%]</w:t>
            </w:r>
          </w:p>
        </w:tc>
        <w:tc>
          <w:tcPr>
            <w:tcW w:w="1861" w:type="dxa"/>
            <w:shd w:val="clear" w:color="auto" w:fill="auto"/>
            <w:vAlign w:val="center"/>
          </w:tcPr>
          <w:p w14:paraId="28084400" w14:textId="77777777" w:rsidR="003A27D6" w:rsidRPr="00FE7CE1" w:rsidRDefault="008A6308">
            <w:pPr>
              <w:pStyle w:val="Normal10pt0"/>
              <w:keepNext/>
              <w:ind w:left="0" w:firstLine="0"/>
              <w:jc w:val="center"/>
              <w:rPr>
                <w:b/>
                <w:sz w:val="22"/>
              </w:rPr>
            </w:pPr>
            <w:r w:rsidRPr="00FE7CE1">
              <w:rPr>
                <w:sz w:val="22"/>
              </w:rPr>
              <w:t>291</w:t>
            </w:r>
          </w:p>
        </w:tc>
        <w:tc>
          <w:tcPr>
            <w:tcW w:w="1861" w:type="dxa"/>
            <w:tcBorders>
              <w:right w:val="single" w:sz="12" w:space="0" w:color="000000"/>
            </w:tcBorders>
            <w:shd w:val="clear" w:color="auto" w:fill="auto"/>
            <w:vAlign w:val="center"/>
          </w:tcPr>
          <w:p w14:paraId="602574F6" w14:textId="71592E9B" w:rsidR="003A27D6" w:rsidRPr="00FE7CE1" w:rsidRDefault="008A6308">
            <w:pPr>
              <w:pStyle w:val="Normal10pt0"/>
              <w:keepNext/>
              <w:ind w:left="0" w:firstLine="0"/>
              <w:jc w:val="center"/>
              <w:rPr>
                <w:b/>
                <w:sz w:val="22"/>
              </w:rPr>
            </w:pPr>
            <w:r w:rsidRPr="00FE7CE1">
              <w:rPr>
                <w:sz w:val="22"/>
              </w:rPr>
              <w:t>73,2</w:t>
            </w:r>
            <w:r w:rsidR="00671040" w:rsidRPr="00FE7CE1">
              <w:rPr>
                <w:sz w:val="22"/>
              </w:rPr>
              <w:t> </w:t>
            </w:r>
            <w:r w:rsidRPr="00FE7CE1">
              <w:rPr>
                <w:sz w:val="22"/>
              </w:rPr>
              <w:t>%</w:t>
            </w:r>
          </w:p>
          <w:p w14:paraId="1804EDB7" w14:textId="324A7A6F" w:rsidR="003A27D6" w:rsidRPr="00FE7CE1" w:rsidRDefault="008A6308">
            <w:pPr>
              <w:pStyle w:val="Normal10pt0"/>
              <w:keepNext/>
              <w:ind w:left="0" w:firstLine="0"/>
              <w:jc w:val="center"/>
              <w:rPr>
                <w:b/>
                <w:sz w:val="22"/>
              </w:rPr>
            </w:pPr>
            <w:r w:rsidRPr="00FE7CE1">
              <w:rPr>
                <w:sz w:val="22"/>
              </w:rPr>
              <w:t>[67,7</w:t>
            </w:r>
            <w:r w:rsidR="00671040" w:rsidRPr="00FE7CE1">
              <w:rPr>
                <w:sz w:val="22"/>
              </w:rPr>
              <w:t> </w:t>
            </w:r>
            <w:r w:rsidRPr="00FE7CE1">
              <w:rPr>
                <w:sz w:val="22"/>
              </w:rPr>
              <w:t>%; 78,2</w:t>
            </w:r>
            <w:r w:rsidR="00671040" w:rsidRPr="00FE7CE1">
              <w:rPr>
                <w:sz w:val="22"/>
              </w:rPr>
              <w:t> </w:t>
            </w:r>
            <w:r w:rsidRPr="00FE7CE1">
              <w:rPr>
                <w:sz w:val="22"/>
              </w:rPr>
              <w:t>%]</w:t>
            </w:r>
          </w:p>
        </w:tc>
      </w:tr>
      <w:tr w:rsidR="003A27D6" w14:paraId="6D8CA17F" w14:textId="77777777">
        <w:tc>
          <w:tcPr>
            <w:tcW w:w="1860" w:type="dxa"/>
            <w:tcBorders>
              <w:left w:val="single" w:sz="12" w:space="0" w:color="000000"/>
              <w:bottom w:val="single" w:sz="12" w:space="0" w:color="000000"/>
            </w:tcBorders>
            <w:shd w:val="clear" w:color="auto" w:fill="auto"/>
            <w:vAlign w:val="center"/>
          </w:tcPr>
          <w:p w14:paraId="42F5F57B" w14:textId="77777777" w:rsidR="003A27D6" w:rsidRPr="00FE7CE1" w:rsidRDefault="008A6308">
            <w:pPr>
              <w:pStyle w:val="Normal10pt0"/>
              <w:keepNext/>
              <w:ind w:left="0" w:firstLine="0"/>
              <w:jc w:val="both"/>
              <w:rPr>
                <w:b/>
                <w:sz w:val="22"/>
              </w:rPr>
            </w:pPr>
            <w:r w:rsidRPr="00FE7CE1">
              <w:rPr>
                <w:sz w:val="22"/>
              </w:rPr>
              <w:t>El Tor Ogawa</w:t>
            </w:r>
          </w:p>
        </w:tc>
        <w:tc>
          <w:tcPr>
            <w:tcW w:w="1861" w:type="dxa"/>
            <w:tcBorders>
              <w:bottom w:val="single" w:sz="12" w:space="0" w:color="000000"/>
            </w:tcBorders>
            <w:shd w:val="clear" w:color="auto" w:fill="auto"/>
            <w:vAlign w:val="center"/>
          </w:tcPr>
          <w:p w14:paraId="70D74DB7" w14:textId="77777777" w:rsidR="003A27D6" w:rsidRPr="00FE7CE1" w:rsidRDefault="008A6308">
            <w:pPr>
              <w:pStyle w:val="Normal10pt0"/>
              <w:keepNext/>
              <w:ind w:left="0" w:firstLine="0"/>
              <w:jc w:val="center"/>
              <w:rPr>
                <w:b/>
                <w:sz w:val="22"/>
              </w:rPr>
            </w:pPr>
            <w:r w:rsidRPr="00FE7CE1">
              <w:rPr>
                <w:sz w:val="22"/>
              </w:rPr>
              <w:t>93</w:t>
            </w:r>
          </w:p>
        </w:tc>
        <w:tc>
          <w:tcPr>
            <w:tcW w:w="1861" w:type="dxa"/>
            <w:tcBorders>
              <w:bottom w:val="single" w:sz="12" w:space="0" w:color="000000"/>
            </w:tcBorders>
            <w:shd w:val="clear" w:color="auto" w:fill="auto"/>
            <w:vAlign w:val="center"/>
          </w:tcPr>
          <w:p w14:paraId="0ECD641D" w14:textId="7A01EF95" w:rsidR="003A27D6" w:rsidRPr="00FE7CE1" w:rsidRDefault="008A6308">
            <w:pPr>
              <w:pStyle w:val="Normal10pt0"/>
              <w:keepNext/>
              <w:ind w:left="0" w:firstLine="0"/>
              <w:jc w:val="center"/>
              <w:rPr>
                <w:b/>
                <w:sz w:val="22"/>
              </w:rPr>
            </w:pPr>
            <w:r w:rsidRPr="00FE7CE1">
              <w:rPr>
                <w:sz w:val="22"/>
              </w:rPr>
              <w:t>89,2</w:t>
            </w:r>
            <w:r w:rsidR="00671040" w:rsidRPr="00FE7CE1">
              <w:rPr>
                <w:sz w:val="22"/>
              </w:rPr>
              <w:t> </w:t>
            </w:r>
            <w:r w:rsidRPr="00FE7CE1">
              <w:rPr>
                <w:sz w:val="22"/>
              </w:rPr>
              <w:t>%</w:t>
            </w:r>
          </w:p>
          <w:p w14:paraId="78865F1C" w14:textId="1932559B" w:rsidR="003A27D6" w:rsidRPr="00FE7CE1" w:rsidRDefault="008A6308">
            <w:pPr>
              <w:pStyle w:val="Normal10pt0"/>
              <w:keepNext/>
              <w:ind w:left="0" w:firstLine="0"/>
              <w:jc w:val="center"/>
              <w:rPr>
                <w:b/>
                <w:sz w:val="22"/>
              </w:rPr>
            </w:pPr>
            <w:r w:rsidRPr="00FE7CE1">
              <w:rPr>
                <w:sz w:val="22"/>
              </w:rPr>
              <w:t>[81,1</w:t>
            </w:r>
            <w:r w:rsidR="00671040" w:rsidRPr="00FE7CE1">
              <w:rPr>
                <w:sz w:val="22"/>
              </w:rPr>
              <w:t> </w:t>
            </w:r>
            <w:r w:rsidRPr="00FE7CE1">
              <w:rPr>
                <w:sz w:val="22"/>
              </w:rPr>
              <w:t>%; 94,7</w:t>
            </w:r>
            <w:r w:rsidR="00671040" w:rsidRPr="00FE7CE1">
              <w:rPr>
                <w:sz w:val="22"/>
              </w:rPr>
              <w:t> </w:t>
            </w:r>
            <w:r w:rsidRPr="00FE7CE1">
              <w:rPr>
                <w:sz w:val="22"/>
              </w:rPr>
              <w:t>%]</w:t>
            </w:r>
          </w:p>
        </w:tc>
        <w:tc>
          <w:tcPr>
            <w:tcW w:w="1861" w:type="dxa"/>
            <w:tcBorders>
              <w:bottom w:val="single" w:sz="12" w:space="0" w:color="000000"/>
            </w:tcBorders>
            <w:shd w:val="clear" w:color="auto" w:fill="auto"/>
            <w:vAlign w:val="center"/>
          </w:tcPr>
          <w:p w14:paraId="55FBA650" w14:textId="77777777" w:rsidR="003A27D6" w:rsidRPr="00FE7CE1" w:rsidRDefault="008A6308">
            <w:pPr>
              <w:pStyle w:val="Normal10pt0"/>
              <w:keepNext/>
              <w:ind w:left="0" w:firstLine="0"/>
              <w:jc w:val="center"/>
              <w:rPr>
                <w:b/>
                <w:sz w:val="22"/>
              </w:rPr>
            </w:pPr>
            <w:r w:rsidRPr="00FE7CE1">
              <w:rPr>
                <w:sz w:val="22"/>
              </w:rPr>
              <w:t>290</w:t>
            </w:r>
          </w:p>
        </w:tc>
        <w:tc>
          <w:tcPr>
            <w:tcW w:w="1861" w:type="dxa"/>
            <w:tcBorders>
              <w:bottom w:val="single" w:sz="12" w:space="0" w:color="000000"/>
              <w:right w:val="single" w:sz="12" w:space="0" w:color="000000"/>
            </w:tcBorders>
            <w:shd w:val="clear" w:color="auto" w:fill="auto"/>
            <w:vAlign w:val="center"/>
          </w:tcPr>
          <w:p w14:paraId="32282FB1" w14:textId="7164FCF3" w:rsidR="003A27D6" w:rsidRPr="00FE7CE1" w:rsidRDefault="008A6308">
            <w:pPr>
              <w:pStyle w:val="Normal10pt0"/>
              <w:keepNext/>
              <w:ind w:left="0" w:firstLine="0"/>
              <w:jc w:val="center"/>
              <w:rPr>
                <w:b/>
                <w:sz w:val="22"/>
              </w:rPr>
            </w:pPr>
            <w:r w:rsidRPr="00FE7CE1">
              <w:rPr>
                <w:sz w:val="22"/>
              </w:rPr>
              <w:t>71,4</w:t>
            </w:r>
            <w:r w:rsidR="00671040" w:rsidRPr="00FE7CE1">
              <w:rPr>
                <w:sz w:val="22"/>
              </w:rPr>
              <w:t> </w:t>
            </w:r>
            <w:r w:rsidRPr="00FE7CE1">
              <w:rPr>
                <w:sz w:val="22"/>
              </w:rPr>
              <w:t>%</w:t>
            </w:r>
          </w:p>
          <w:p w14:paraId="4ABA70F7" w14:textId="29F9113E" w:rsidR="003A27D6" w:rsidRPr="00FE7CE1" w:rsidRDefault="008A6308">
            <w:pPr>
              <w:pStyle w:val="Normal10pt0"/>
              <w:keepNext/>
              <w:ind w:left="0" w:firstLine="0"/>
              <w:jc w:val="center"/>
              <w:rPr>
                <w:b/>
                <w:sz w:val="22"/>
              </w:rPr>
            </w:pPr>
            <w:r w:rsidRPr="00FE7CE1">
              <w:rPr>
                <w:sz w:val="22"/>
              </w:rPr>
              <w:t>[65,8</w:t>
            </w:r>
            <w:r w:rsidR="00671040" w:rsidRPr="00FE7CE1">
              <w:rPr>
                <w:sz w:val="22"/>
              </w:rPr>
              <w:t> </w:t>
            </w:r>
            <w:r w:rsidRPr="00FE7CE1">
              <w:rPr>
                <w:sz w:val="22"/>
              </w:rPr>
              <w:t>%; 76,5</w:t>
            </w:r>
            <w:r w:rsidR="00671040" w:rsidRPr="00FE7CE1">
              <w:rPr>
                <w:sz w:val="22"/>
              </w:rPr>
              <w:t> </w:t>
            </w:r>
            <w:r w:rsidRPr="00FE7CE1">
              <w:rPr>
                <w:sz w:val="22"/>
              </w:rPr>
              <w:t>%]</w:t>
            </w:r>
          </w:p>
        </w:tc>
      </w:tr>
    </w:tbl>
    <w:p w14:paraId="471C894F" w14:textId="12FCF666" w:rsidR="003A27D6" w:rsidRDefault="008A6308">
      <w:pPr>
        <w:pStyle w:val="Normal10pt0"/>
        <w:keepNext/>
      </w:pPr>
      <w:r>
        <w:rPr>
          <w:rStyle w:val="Superscript"/>
        </w:rPr>
        <w:t>a</w:t>
      </w:r>
      <w:r>
        <w:t xml:space="preserve"> N = niiden tutkittavien lukumäärä, joille tehtiin mittaukset lähtötilanteessa ja 10</w:t>
      </w:r>
      <w:r w:rsidR="00671040">
        <w:t> </w:t>
      </w:r>
      <w:r>
        <w:t>vuorokautta rokotuksesta. Yhdelle nuorempien aikuisten tutkimukseen osallistuneelle tutkittavalle ei tehty mittausta päivänä 11, ja hänet jätettiin pois analyysista.</w:t>
      </w:r>
    </w:p>
    <w:p w14:paraId="2CCC856D" w14:textId="0D856D91" w:rsidR="003A27D6" w:rsidRDefault="008A6308">
      <w:pPr>
        <w:pStyle w:val="Normal10pt0"/>
        <w:keepNext/>
      </w:pPr>
      <w:r>
        <w:rPr>
          <w:rStyle w:val="Superscript"/>
        </w:rPr>
        <w:t>b</w:t>
      </w:r>
      <w:r>
        <w:t xml:space="preserve"> Serokonversio määritellään niiden tutkittavien prosenttiosuudeksi, joiden vibriosidinen vasta-ainetitteri oli vähintään nelinkertaistunut lähtötilanteessa mitattuun titteriin nähden 10</w:t>
      </w:r>
      <w:r w:rsidR="0002317A">
        <w:t> </w:t>
      </w:r>
      <w:r>
        <w:t>vuorokautta rokotuksesta.</w:t>
      </w:r>
    </w:p>
    <w:p w14:paraId="3D276563" w14:textId="77777777" w:rsidR="003A27D6" w:rsidRDefault="008A6308">
      <w:pPr>
        <w:pStyle w:val="Normal10pt0"/>
        <w:keepNext/>
      </w:pPr>
      <w:r>
        <w:rPr>
          <w:rStyle w:val="Superscript"/>
        </w:rPr>
        <w:t>c</w:t>
      </w:r>
      <w:r>
        <w:t xml:space="preserve"> CI = luottamusväli.</w:t>
      </w:r>
    </w:p>
    <w:p w14:paraId="2B69690C" w14:textId="52C9043A" w:rsidR="003A27D6" w:rsidRDefault="008A6308">
      <w:pPr>
        <w:pStyle w:val="Normal10pt0"/>
      </w:pPr>
      <w:r>
        <w:rPr>
          <w:rStyle w:val="Superscript"/>
        </w:rPr>
        <w:t>d</w:t>
      </w:r>
      <w:r>
        <w:t xml:space="preserve"> Vaxchora sisältää </w:t>
      </w:r>
      <w:r>
        <w:rPr>
          <w:rStyle w:val="Painotus"/>
        </w:rPr>
        <w:t>V</w:t>
      </w:r>
      <w:r w:rsidR="000E24ED">
        <w:rPr>
          <w:rStyle w:val="Painotus"/>
        </w:rPr>
        <w:t>ibrio</w:t>
      </w:r>
      <w:r>
        <w:t> </w:t>
      </w:r>
      <w:r>
        <w:rPr>
          <w:rStyle w:val="Painotus"/>
        </w:rPr>
        <w:t>cholerae</w:t>
      </w:r>
      <w:r>
        <w:t xml:space="preserve"> O1:n klassista Inaba-kantaa.</w:t>
      </w:r>
    </w:p>
    <w:p w14:paraId="05EFC249" w14:textId="77777777" w:rsidR="003A27D6" w:rsidRDefault="003A27D6"/>
    <w:p w14:paraId="5F7185ED" w14:textId="77777777" w:rsidR="003A27D6" w:rsidRDefault="008A6308">
      <w:pPr>
        <w:pStyle w:val="HeadingUnderlined"/>
      </w:pPr>
      <w:r>
        <w:t>Pediatriset potilaat</w:t>
      </w:r>
    </w:p>
    <w:p w14:paraId="212BC378" w14:textId="493EC916" w:rsidR="003A27D6" w:rsidRDefault="008A6308">
      <w:r>
        <w:t>Yksi immunogeenisuutta selvittävä tutkimus tehtiin 550 terveellä, 2 – &lt; 18</w:t>
      </w:r>
      <w:r>
        <w:noBreakHyphen/>
        <w:t>vuotiaalla lapsella (keskimääräinen ikä 9,0 vuotta, vaihteluväli 2–17 vuotta, 52,0</w:t>
      </w:r>
      <w:r w:rsidR="00671040">
        <w:t> </w:t>
      </w:r>
      <w:r>
        <w:t>% poikia, 48,0</w:t>
      </w:r>
      <w:r w:rsidR="00671040">
        <w:t> </w:t>
      </w:r>
      <w:r>
        <w:t>% tyttöjä)</w:t>
      </w:r>
      <w:r w:rsidR="000E24ED">
        <w:t xml:space="preserve"> (tutkimus 5)</w:t>
      </w:r>
      <w:r>
        <w:t>. Immunogeenisuuden suhteen arviointikelpoisessa populaatiossa (n = </w:t>
      </w:r>
      <w:r w:rsidRPr="00C861EF">
        <w:t>466</w:t>
      </w:r>
      <w:r>
        <w:t>) poikien ja tyttöjen suhde oli 52,8 % poikia ja 47,2 % tyttöjä. Rokotetta ja lumerokotetta saaneiden serokonversiotulokset ja immunogeenisuuden yleistettävyystulokset esitetään taulukossa 4.</w:t>
      </w:r>
    </w:p>
    <w:p w14:paraId="26F69B6D" w14:textId="77777777" w:rsidR="003A27D6" w:rsidRDefault="003A27D6"/>
    <w:p w14:paraId="5DB56D5A" w14:textId="04B419E3" w:rsidR="003A27D6" w:rsidRDefault="008A6308">
      <w:r>
        <w:t>Pitkäaikaisia immunogeenisuustietoja on 12 – &lt; 18-vuotiaiden lasten alaryhmästä. Serokonversioprosentti vaihteli 100 %:sta 28 vuorokautta rokotuksesta 64,5 %:iin 729</w:t>
      </w:r>
      <w:r w:rsidR="0002317A">
        <w:t> </w:t>
      </w:r>
      <w:r>
        <w:t>vuorokautta rokotuksesta. Serokonversiotulokset ajan myötä on esitetty taulukossa 5.</w:t>
      </w:r>
    </w:p>
    <w:p w14:paraId="1430FDD9" w14:textId="77777777" w:rsidR="003A27D6" w:rsidRDefault="003A27D6"/>
    <w:p w14:paraId="368733BE" w14:textId="0C51D3C3" w:rsidR="003A27D6" w:rsidRDefault="008A6308">
      <w:pPr>
        <w:pStyle w:val="TableTitle"/>
        <w:ind w:left="1276" w:hanging="1276"/>
      </w:pPr>
      <w:r>
        <w:lastRenderedPageBreak/>
        <w:t xml:space="preserve">Taulukko 4: </w:t>
      </w:r>
      <w:bookmarkStart w:id="0" w:name="_Hlk62545216"/>
      <w:r>
        <w:t xml:space="preserve">Vibriosidisten vasta-aineiden serokonversio </w:t>
      </w:r>
      <w:r>
        <w:rPr>
          <w:rStyle w:val="Painotus"/>
        </w:rPr>
        <w:t>V</w:t>
      </w:r>
      <w:r w:rsidR="000E24ED">
        <w:rPr>
          <w:rStyle w:val="Painotus"/>
        </w:rPr>
        <w:t>ibrio</w:t>
      </w:r>
      <w:r>
        <w:t> </w:t>
      </w:r>
      <w:r>
        <w:rPr>
          <w:rStyle w:val="Painotus"/>
        </w:rPr>
        <w:t>cholerae</w:t>
      </w:r>
      <w:r>
        <w:t xml:space="preserve"> -bakteerin klassista Inaba-kantaa vastaan lapsilla 10 vuorokautta rokotuksesta [immunogeenisuuden suhteen arviointikelpoinen populaatio]</w:t>
      </w:r>
      <w:bookmarkEnd w:id="0"/>
    </w:p>
    <w:p w14:paraId="7BD8C58E" w14:textId="77777777" w:rsidR="003A27D6" w:rsidRDefault="003A27D6">
      <w:pPr>
        <w:keepNext/>
      </w:pPr>
    </w:p>
    <w:tbl>
      <w:tblPr>
        <w:tblW w:w="9303" w:type="dxa"/>
        <w:tblCellMar>
          <w:top w:w="113" w:type="dxa"/>
          <w:bottom w:w="113" w:type="dxa"/>
        </w:tblCellMar>
        <w:tblLook w:val="04A0" w:firstRow="1" w:lastRow="0" w:firstColumn="1" w:lastColumn="0" w:noHBand="0" w:noVBand="1"/>
      </w:tblPr>
      <w:tblGrid>
        <w:gridCol w:w="1400"/>
        <w:gridCol w:w="613"/>
        <w:gridCol w:w="1676"/>
        <w:gridCol w:w="852"/>
        <w:gridCol w:w="1550"/>
        <w:gridCol w:w="3212"/>
      </w:tblGrid>
      <w:tr w:rsidR="003A27D6" w14:paraId="555D6F29" w14:textId="77777777">
        <w:tc>
          <w:tcPr>
            <w:tcW w:w="1410" w:type="dxa"/>
            <w:tcBorders>
              <w:top w:val="single" w:sz="12" w:space="0" w:color="000000"/>
              <w:left w:val="single" w:sz="12" w:space="0" w:color="000000"/>
            </w:tcBorders>
            <w:shd w:val="clear" w:color="auto" w:fill="auto"/>
            <w:vAlign w:val="bottom"/>
          </w:tcPr>
          <w:p w14:paraId="461FC801" w14:textId="77777777" w:rsidR="003A27D6" w:rsidRPr="00BC05CD" w:rsidRDefault="008A6308">
            <w:pPr>
              <w:pStyle w:val="Normal10pt0"/>
              <w:keepNext/>
              <w:ind w:left="0" w:firstLine="0"/>
              <w:jc w:val="center"/>
              <w:rPr>
                <w:rStyle w:val="Strong"/>
                <w:sz w:val="22"/>
              </w:rPr>
            </w:pPr>
            <w:r w:rsidRPr="00FE7CE1">
              <w:rPr>
                <w:rStyle w:val="Strong"/>
                <w:sz w:val="22"/>
              </w:rPr>
              <w:t>Tutkimus</w:t>
            </w:r>
          </w:p>
        </w:tc>
        <w:tc>
          <w:tcPr>
            <w:tcW w:w="2307" w:type="dxa"/>
            <w:gridSpan w:val="2"/>
            <w:tcBorders>
              <w:top w:val="single" w:sz="12" w:space="0" w:color="000000"/>
            </w:tcBorders>
            <w:shd w:val="clear" w:color="auto" w:fill="auto"/>
            <w:vAlign w:val="bottom"/>
          </w:tcPr>
          <w:p w14:paraId="4C48AC19" w14:textId="77777777" w:rsidR="003A27D6" w:rsidRPr="00FE7CE1" w:rsidRDefault="008A6308">
            <w:pPr>
              <w:pStyle w:val="Normal10pt0"/>
              <w:keepNext/>
              <w:ind w:left="0" w:firstLine="0"/>
              <w:jc w:val="center"/>
              <w:rPr>
                <w:rStyle w:val="Strong"/>
                <w:sz w:val="22"/>
              </w:rPr>
            </w:pPr>
            <w:r w:rsidRPr="00FE7CE1">
              <w:rPr>
                <w:rStyle w:val="Strong"/>
                <w:sz w:val="22"/>
              </w:rPr>
              <w:t>Vaxchoraa saaneet</w:t>
            </w:r>
          </w:p>
        </w:tc>
        <w:tc>
          <w:tcPr>
            <w:tcW w:w="2319" w:type="dxa"/>
            <w:gridSpan w:val="2"/>
            <w:tcBorders>
              <w:top w:val="single" w:sz="12" w:space="0" w:color="000000"/>
            </w:tcBorders>
            <w:shd w:val="clear" w:color="auto" w:fill="auto"/>
            <w:vAlign w:val="bottom"/>
          </w:tcPr>
          <w:p w14:paraId="1AFF1DD7" w14:textId="77777777" w:rsidR="003A27D6" w:rsidRPr="00FE7CE1" w:rsidRDefault="008A6308">
            <w:pPr>
              <w:pStyle w:val="Normal10pt0"/>
              <w:keepNext/>
              <w:ind w:left="0" w:firstLine="0"/>
              <w:jc w:val="center"/>
              <w:rPr>
                <w:rStyle w:val="Strong"/>
                <w:sz w:val="22"/>
              </w:rPr>
            </w:pPr>
            <w:r w:rsidRPr="00FE7CE1">
              <w:rPr>
                <w:rStyle w:val="Strong"/>
                <w:sz w:val="22"/>
              </w:rPr>
              <w:t>Lumerokotetta saaneet</w:t>
            </w:r>
          </w:p>
        </w:tc>
        <w:tc>
          <w:tcPr>
            <w:tcW w:w="3266" w:type="dxa"/>
            <w:tcBorders>
              <w:top w:val="single" w:sz="12" w:space="0" w:color="000000"/>
              <w:right w:val="single" w:sz="12" w:space="0" w:color="000000"/>
            </w:tcBorders>
            <w:shd w:val="clear" w:color="auto" w:fill="auto"/>
            <w:vAlign w:val="bottom"/>
          </w:tcPr>
          <w:p w14:paraId="48288404" w14:textId="10BF749B" w:rsidR="003A27D6" w:rsidRPr="00FE7CE1" w:rsidRDefault="008A6308">
            <w:pPr>
              <w:pStyle w:val="Normal10pt0"/>
              <w:keepNext/>
              <w:ind w:left="0" w:firstLine="0"/>
              <w:jc w:val="center"/>
              <w:rPr>
                <w:rStyle w:val="Strong"/>
                <w:sz w:val="22"/>
              </w:rPr>
            </w:pPr>
            <w:r w:rsidRPr="00FE7CE1">
              <w:rPr>
                <w:rStyle w:val="Strong"/>
                <w:sz w:val="22"/>
              </w:rPr>
              <w:t>Immunogeenisuuden yleistettävyys: Serokonversioprosenttien ero 18–45</w:t>
            </w:r>
            <w:r w:rsidRPr="00FE7CE1">
              <w:rPr>
                <w:rStyle w:val="Strong"/>
                <w:sz w:val="22"/>
              </w:rPr>
              <w:noBreakHyphen/>
              <w:t xml:space="preserve">vuotiailla tehtyyn </w:t>
            </w:r>
            <w:r w:rsidR="000E24ED" w:rsidRPr="00FE7CE1">
              <w:rPr>
                <w:rStyle w:val="Strong"/>
                <w:sz w:val="22"/>
              </w:rPr>
              <w:t>tutkimukseen 3</w:t>
            </w:r>
            <w:r w:rsidRPr="00FE7CE1">
              <w:rPr>
                <w:rStyle w:val="Strong"/>
                <w:sz w:val="22"/>
              </w:rPr>
              <w:t xml:space="preserve"> verrattuna</w:t>
            </w:r>
          </w:p>
        </w:tc>
      </w:tr>
      <w:tr w:rsidR="003A27D6" w14:paraId="76A927A9" w14:textId="77777777">
        <w:tc>
          <w:tcPr>
            <w:tcW w:w="1410" w:type="dxa"/>
            <w:tcBorders>
              <w:left w:val="single" w:sz="12" w:space="0" w:color="000000"/>
              <w:bottom w:val="single" w:sz="12" w:space="0" w:color="000000"/>
            </w:tcBorders>
            <w:shd w:val="clear" w:color="auto" w:fill="auto"/>
            <w:vAlign w:val="bottom"/>
          </w:tcPr>
          <w:p w14:paraId="7C7E4C56" w14:textId="77777777" w:rsidR="003A27D6" w:rsidRPr="00FE7CE1" w:rsidRDefault="008A6308">
            <w:pPr>
              <w:pStyle w:val="Normal10pt0"/>
              <w:keepNext/>
              <w:ind w:left="0" w:firstLine="0"/>
              <w:jc w:val="center"/>
              <w:rPr>
                <w:b/>
                <w:sz w:val="22"/>
              </w:rPr>
            </w:pPr>
            <w:r w:rsidRPr="00FE7CE1">
              <w:rPr>
                <w:sz w:val="22"/>
              </w:rPr>
              <w:t>(ikä vuosina)</w:t>
            </w:r>
          </w:p>
        </w:tc>
        <w:tc>
          <w:tcPr>
            <w:tcW w:w="619" w:type="dxa"/>
            <w:tcBorders>
              <w:bottom w:val="single" w:sz="12" w:space="0" w:color="000000"/>
            </w:tcBorders>
            <w:shd w:val="clear" w:color="auto" w:fill="auto"/>
            <w:vAlign w:val="bottom"/>
          </w:tcPr>
          <w:p w14:paraId="14437448" w14:textId="77777777" w:rsidR="003A27D6" w:rsidRPr="00FE7CE1" w:rsidRDefault="008A6308">
            <w:pPr>
              <w:pStyle w:val="Normal10pt0"/>
              <w:keepNext/>
              <w:ind w:left="0" w:firstLine="0"/>
              <w:jc w:val="center"/>
              <w:rPr>
                <w:b/>
                <w:sz w:val="22"/>
              </w:rPr>
            </w:pPr>
            <w:r w:rsidRPr="00FE7CE1">
              <w:rPr>
                <w:sz w:val="22"/>
              </w:rPr>
              <w:t>N</w:t>
            </w:r>
            <w:r w:rsidRPr="00FE7CE1">
              <w:rPr>
                <w:rStyle w:val="Superscript"/>
                <w:sz w:val="22"/>
              </w:rPr>
              <w:t>b</w:t>
            </w:r>
          </w:p>
        </w:tc>
        <w:tc>
          <w:tcPr>
            <w:tcW w:w="1688" w:type="dxa"/>
            <w:tcBorders>
              <w:bottom w:val="single" w:sz="12" w:space="0" w:color="000000"/>
            </w:tcBorders>
            <w:shd w:val="clear" w:color="auto" w:fill="auto"/>
            <w:vAlign w:val="bottom"/>
          </w:tcPr>
          <w:p w14:paraId="7AD0BD81" w14:textId="77777777" w:rsidR="003A27D6" w:rsidRPr="00FE7CE1" w:rsidRDefault="008A6308">
            <w:pPr>
              <w:pStyle w:val="Normal10pt0"/>
              <w:keepNext/>
              <w:ind w:left="0" w:firstLine="0"/>
              <w:jc w:val="center"/>
              <w:rPr>
                <w:b/>
                <w:sz w:val="22"/>
              </w:rPr>
            </w:pPr>
            <w:r w:rsidRPr="00FE7CE1">
              <w:rPr>
                <w:sz w:val="22"/>
              </w:rPr>
              <w:t>Serokonversio</w:t>
            </w:r>
            <w:r w:rsidRPr="00FE7CE1">
              <w:rPr>
                <w:rStyle w:val="Superscript"/>
                <w:sz w:val="22"/>
              </w:rPr>
              <w:t>a</w:t>
            </w:r>
          </w:p>
          <w:p w14:paraId="3502E56A" w14:textId="77777777" w:rsidR="003A27D6" w:rsidRPr="00FE7CE1" w:rsidRDefault="008A6308">
            <w:pPr>
              <w:pStyle w:val="Normal10pt0"/>
              <w:keepNext/>
              <w:ind w:left="0" w:firstLine="0"/>
              <w:jc w:val="center"/>
              <w:rPr>
                <w:b/>
                <w:sz w:val="22"/>
              </w:rPr>
            </w:pPr>
            <w:r w:rsidRPr="00FE7CE1">
              <w:rPr>
                <w:sz w:val="22"/>
              </w:rPr>
              <w:t>%</w:t>
            </w:r>
          </w:p>
          <w:p w14:paraId="4B27EE8C" w14:textId="20BB3D6A" w:rsidR="003A27D6" w:rsidRPr="00FE7CE1" w:rsidRDefault="008A6308">
            <w:pPr>
              <w:pStyle w:val="Normal10pt0"/>
              <w:keepNext/>
              <w:ind w:left="0" w:firstLine="0"/>
              <w:jc w:val="center"/>
              <w:rPr>
                <w:b/>
                <w:sz w:val="22"/>
              </w:rPr>
            </w:pPr>
            <w:r w:rsidRPr="00FE7CE1">
              <w:rPr>
                <w:sz w:val="22"/>
              </w:rPr>
              <w:t>[98,3</w:t>
            </w:r>
            <w:r w:rsidR="00671040" w:rsidRPr="00FE7CE1">
              <w:rPr>
                <w:sz w:val="22"/>
              </w:rPr>
              <w:t> </w:t>
            </w:r>
            <w:r w:rsidRPr="00FE7CE1">
              <w:rPr>
                <w:sz w:val="22"/>
              </w:rPr>
              <w:t>%:n CI]</w:t>
            </w:r>
          </w:p>
        </w:tc>
        <w:tc>
          <w:tcPr>
            <w:tcW w:w="889" w:type="dxa"/>
            <w:tcBorders>
              <w:bottom w:val="single" w:sz="12" w:space="0" w:color="000000"/>
            </w:tcBorders>
            <w:shd w:val="clear" w:color="auto" w:fill="auto"/>
            <w:vAlign w:val="bottom"/>
          </w:tcPr>
          <w:p w14:paraId="55F73EEF" w14:textId="77777777" w:rsidR="003A27D6" w:rsidRPr="00FE7CE1" w:rsidRDefault="008A6308">
            <w:pPr>
              <w:pStyle w:val="Normal10pt0"/>
              <w:keepNext/>
              <w:ind w:left="0" w:firstLine="0"/>
              <w:jc w:val="center"/>
              <w:rPr>
                <w:b/>
                <w:sz w:val="22"/>
              </w:rPr>
            </w:pPr>
            <w:r w:rsidRPr="00FE7CE1">
              <w:rPr>
                <w:sz w:val="22"/>
              </w:rPr>
              <w:t>N</w:t>
            </w:r>
            <w:r w:rsidRPr="00FE7CE1">
              <w:rPr>
                <w:rStyle w:val="Superscript"/>
                <w:sz w:val="22"/>
              </w:rPr>
              <w:t>b</w:t>
            </w:r>
          </w:p>
        </w:tc>
        <w:tc>
          <w:tcPr>
            <w:tcW w:w="1430" w:type="dxa"/>
            <w:tcBorders>
              <w:bottom w:val="single" w:sz="12" w:space="0" w:color="000000"/>
            </w:tcBorders>
            <w:shd w:val="clear" w:color="auto" w:fill="auto"/>
            <w:vAlign w:val="bottom"/>
          </w:tcPr>
          <w:p w14:paraId="09363B02" w14:textId="77777777" w:rsidR="003A27D6" w:rsidRPr="00FE7CE1" w:rsidRDefault="008A6308">
            <w:pPr>
              <w:pStyle w:val="Normal10pt0"/>
              <w:keepNext/>
              <w:ind w:left="0" w:firstLine="0"/>
              <w:jc w:val="center"/>
              <w:rPr>
                <w:b/>
                <w:sz w:val="22"/>
              </w:rPr>
            </w:pPr>
            <w:r w:rsidRPr="00FE7CE1">
              <w:rPr>
                <w:sz w:val="22"/>
              </w:rPr>
              <w:t>Serokonversio</w:t>
            </w:r>
            <w:r w:rsidRPr="00FE7CE1">
              <w:rPr>
                <w:rStyle w:val="Superscript"/>
                <w:sz w:val="22"/>
              </w:rPr>
              <w:t>a</w:t>
            </w:r>
          </w:p>
          <w:p w14:paraId="00826996" w14:textId="77777777" w:rsidR="003A27D6" w:rsidRPr="00FE7CE1" w:rsidRDefault="008A6308">
            <w:pPr>
              <w:pStyle w:val="Normal10pt0"/>
              <w:keepNext/>
              <w:ind w:left="0" w:firstLine="0"/>
              <w:jc w:val="center"/>
              <w:rPr>
                <w:b/>
                <w:sz w:val="22"/>
              </w:rPr>
            </w:pPr>
            <w:r w:rsidRPr="00FE7CE1">
              <w:rPr>
                <w:sz w:val="22"/>
              </w:rPr>
              <w:t>%</w:t>
            </w:r>
          </w:p>
          <w:p w14:paraId="26195944" w14:textId="071B6C31" w:rsidR="003A27D6" w:rsidRPr="00FE7CE1" w:rsidRDefault="008A6308">
            <w:pPr>
              <w:pStyle w:val="Normal10pt0"/>
              <w:keepNext/>
              <w:ind w:left="0" w:firstLine="0"/>
              <w:jc w:val="center"/>
              <w:rPr>
                <w:b/>
                <w:sz w:val="22"/>
              </w:rPr>
            </w:pPr>
            <w:r w:rsidRPr="00FE7CE1">
              <w:rPr>
                <w:sz w:val="22"/>
              </w:rPr>
              <w:t>[95</w:t>
            </w:r>
            <w:r w:rsidR="00671040" w:rsidRPr="00FE7CE1">
              <w:rPr>
                <w:sz w:val="22"/>
              </w:rPr>
              <w:t> </w:t>
            </w:r>
            <w:r w:rsidRPr="00FE7CE1">
              <w:rPr>
                <w:sz w:val="22"/>
              </w:rPr>
              <w:t>%:n CI</w:t>
            </w:r>
            <w:r w:rsidRPr="00FE7CE1">
              <w:rPr>
                <w:rStyle w:val="Superscript"/>
                <w:sz w:val="22"/>
              </w:rPr>
              <w:t>c</w:t>
            </w:r>
            <w:r w:rsidRPr="00FE7CE1">
              <w:rPr>
                <w:sz w:val="22"/>
              </w:rPr>
              <w:t>]</w:t>
            </w:r>
          </w:p>
        </w:tc>
        <w:tc>
          <w:tcPr>
            <w:tcW w:w="3266" w:type="dxa"/>
            <w:tcBorders>
              <w:bottom w:val="single" w:sz="12" w:space="0" w:color="000000"/>
              <w:right w:val="single" w:sz="12" w:space="0" w:color="000000"/>
            </w:tcBorders>
            <w:shd w:val="clear" w:color="auto" w:fill="auto"/>
            <w:vAlign w:val="bottom"/>
          </w:tcPr>
          <w:p w14:paraId="35823AE8" w14:textId="77777777" w:rsidR="003A27D6" w:rsidRPr="00FE7CE1" w:rsidRDefault="008A6308">
            <w:pPr>
              <w:pStyle w:val="Normal10pt0"/>
              <w:keepNext/>
              <w:ind w:left="0" w:firstLine="0"/>
              <w:jc w:val="center"/>
              <w:rPr>
                <w:b/>
                <w:sz w:val="22"/>
              </w:rPr>
            </w:pPr>
            <w:r w:rsidRPr="00FE7CE1">
              <w:rPr>
                <w:sz w:val="22"/>
              </w:rPr>
              <w:t>%</w:t>
            </w:r>
            <w:r w:rsidRPr="00FE7CE1">
              <w:rPr>
                <w:rStyle w:val="Superscript"/>
                <w:sz w:val="22"/>
              </w:rPr>
              <w:t>d</w:t>
            </w:r>
          </w:p>
          <w:p w14:paraId="601A93E8" w14:textId="4A60CB5F" w:rsidR="003A27D6" w:rsidRPr="00FE7CE1" w:rsidRDefault="008A6308">
            <w:pPr>
              <w:pStyle w:val="Normal10pt0"/>
              <w:keepNext/>
              <w:ind w:left="0" w:firstLine="0"/>
              <w:jc w:val="center"/>
              <w:rPr>
                <w:b/>
                <w:sz w:val="22"/>
              </w:rPr>
            </w:pPr>
            <w:r w:rsidRPr="00FE7CE1">
              <w:rPr>
                <w:sz w:val="22"/>
              </w:rPr>
              <w:t>[96,7</w:t>
            </w:r>
            <w:r w:rsidR="00671040" w:rsidRPr="00FE7CE1">
              <w:rPr>
                <w:sz w:val="22"/>
              </w:rPr>
              <w:t> </w:t>
            </w:r>
            <w:r w:rsidRPr="00FE7CE1">
              <w:rPr>
                <w:sz w:val="22"/>
              </w:rPr>
              <w:t>%:n CI]</w:t>
            </w:r>
          </w:p>
        </w:tc>
      </w:tr>
      <w:tr w:rsidR="003A27D6" w14:paraId="5B0EFF2E" w14:textId="77777777">
        <w:tc>
          <w:tcPr>
            <w:tcW w:w="1410" w:type="dxa"/>
            <w:tcBorders>
              <w:top w:val="single" w:sz="12" w:space="0" w:color="000000"/>
              <w:left w:val="single" w:sz="12" w:space="0" w:color="000000"/>
              <w:bottom w:val="single" w:sz="12" w:space="0" w:color="000000"/>
            </w:tcBorders>
            <w:shd w:val="clear" w:color="auto" w:fill="auto"/>
          </w:tcPr>
          <w:p w14:paraId="52636C50" w14:textId="75BD4D82" w:rsidR="003A27D6" w:rsidRPr="00FE7CE1" w:rsidRDefault="008A6308">
            <w:pPr>
              <w:pStyle w:val="Normal10pt0"/>
              <w:keepNext/>
              <w:ind w:left="0" w:firstLine="0"/>
              <w:jc w:val="center"/>
              <w:rPr>
                <w:b/>
                <w:sz w:val="22"/>
              </w:rPr>
            </w:pPr>
            <w:r w:rsidRPr="00FE7CE1">
              <w:rPr>
                <w:sz w:val="22"/>
              </w:rPr>
              <w:t>Pediatrinen tutkimus</w:t>
            </w:r>
            <w:r w:rsidR="000E24ED" w:rsidRPr="00FE7CE1">
              <w:rPr>
                <w:sz w:val="22"/>
              </w:rPr>
              <w:t xml:space="preserve"> (tutkimus 5)</w:t>
            </w:r>
            <w:r w:rsidRPr="00FE7CE1">
              <w:rPr>
                <w:sz w:val="22"/>
              </w:rPr>
              <w:t xml:space="preserve"> (2 – &lt; 18)</w:t>
            </w:r>
          </w:p>
        </w:tc>
        <w:tc>
          <w:tcPr>
            <w:tcW w:w="619" w:type="dxa"/>
            <w:tcBorders>
              <w:top w:val="single" w:sz="12" w:space="0" w:color="000000"/>
              <w:bottom w:val="single" w:sz="12" w:space="0" w:color="000000"/>
            </w:tcBorders>
            <w:shd w:val="clear" w:color="auto" w:fill="auto"/>
          </w:tcPr>
          <w:p w14:paraId="4B3F24E2" w14:textId="77777777" w:rsidR="003A27D6" w:rsidRPr="00FE7CE1" w:rsidRDefault="008A6308">
            <w:pPr>
              <w:pStyle w:val="Normal10pt0"/>
              <w:keepNext/>
              <w:ind w:left="0" w:firstLine="0"/>
              <w:jc w:val="center"/>
              <w:rPr>
                <w:sz w:val="22"/>
              </w:rPr>
            </w:pPr>
            <w:r w:rsidRPr="00FE7CE1">
              <w:rPr>
                <w:sz w:val="22"/>
              </w:rPr>
              <w:t>399</w:t>
            </w:r>
          </w:p>
        </w:tc>
        <w:tc>
          <w:tcPr>
            <w:tcW w:w="1688" w:type="dxa"/>
            <w:tcBorders>
              <w:top w:val="single" w:sz="12" w:space="0" w:color="000000"/>
              <w:bottom w:val="single" w:sz="12" w:space="0" w:color="000000"/>
            </w:tcBorders>
            <w:shd w:val="clear" w:color="auto" w:fill="auto"/>
          </w:tcPr>
          <w:p w14:paraId="5076DA8D" w14:textId="31012E33" w:rsidR="003A27D6" w:rsidRPr="00FE7CE1" w:rsidRDefault="008A6308">
            <w:pPr>
              <w:pStyle w:val="Normal10pt0"/>
              <w:keepNext/>
              <w:ind w:left="0" w:firstLine="0"/>
              <w:jc w:val="center"/>
              <w:rPr>
                <w:b/>
                <w:sz w:val="22"/>
              </w:rPr>
            </w:pPr>
            <w:r w:rsidRPr="00FE7CE1">
              <w:rPr>
                <w:sz w:val="22"/>
              </w:rPr>
              <w:t>98,5</w:t>
            </w:r>
            <w:r w:rsidR="00671040" w:rsidRPr="00FE7CE1">
              <w:rPr>
                <w:sz w:val="22"/>
              </w:rPr>
              <w:t> </w:t>
            </w:r>
            <w:r w:rsidRPr="00FE7CE1">
              <w:rPr>
                <w:sz w:val="22"/>
              </w:rPr>
              <w:t>%</w:t>
            </w:r>
          </w:p>
          <w:p w14:paraId="7AAB3500" w14:textId="5E0EB2A8" w:rsidR="003A27D6" w:rsidRPr="00FE7CE1" w:rsidRDefault="008A6308">
            <w:pPr>
              <w:pStyle w:val="Normal10pt0"/>
              <w:keepNext/>
              <w:ind w:left="0" w:firstLine="0"/>
              <w:jc w:val="center"/>
              <w:rPr>
                <w:b/>
                <w:sz w:val="22"/>
              </w:rPr>
            </w:pPr>
            <w:r w:rsidRPr="00FE7CE1">
              <w:rPr>
                <w:sz w:val="22"/>
              </w:rPr>
              <w:t>[96,2</w:t>
            </w:r>
            <w:r w:rsidR="00671040" w:rsidRPr="00FE7CE1">
              <w:rPr>
                <w:sz w:val="22"/>
              </w:rPr>
              <w:t> </w:t>
            </w:r>
            <w:r w:rsidRPr="00FE7CE1">
              <w:rPr>
                <w:sz w:val="22"/>
              </w:rPr>
              <w:t>%; 99,4</w:t>
            </w:r>
            <w:r w:rsidR="00671040" w:rsidRPr="00FE7CE1">
              <w:rPr>
                <w:sz w:val="22"/>
              </w:rPr>
              <w:t> </w:t>
            </w:r>
            <w:r w:rsidRPr="00FE7CE1">
              <w:rPr>
                <w:sz w:val="22"/>
              </w:rPr>
              <w:t>%]</w:t>
            </w:r>
          </w:p>
        </w:tc>
        <w:tc>
          <w:tcPr>
            <w:tcW w:w="889" w:type="dxa"/>
            <w:tcBorders>
              <w:top w:val="single" w:sz="12" w:space="0" w:color="000000"/>
              <w:bottom w:val="single" w:sz="12" w:space="0" w:color="000000"/>
            </w:tcBorders>
            <w:shd w:val="clear" w:color="auto" w:fill="auto"/>
          </w:tcPr>
          <w:p w14:paraId="151D42C7" w14:textId="77777777" w:rsidR="003A27D6" w:rsidRPr="00FE7CE1" w:rsidRDefault="008A6308">
            <w:pPr>
              <w:pStyle w:val="Normal10pt0"/>
              <w:keepNext/>
              <w:ind w:left="0" w:firstLine="0"/>
              <w:jc w:val="center"/>
              <w:rPr>
                <w:sz w:val="22"/>
              </w:rPr>
            </w:pPr>
            <w:r w:rsidRPr="00FE7CE1">
              <w:rPr>
                <w:sz w:val="22"/>
              </w:rPr>
              <w:t>67</w:t>
            </w:r>
          </w:p>
        </w:tc>
        <w:tc>
          <w:tcPr>
            <w:tcW w:w="1430" w:type="dxa"/>
            <w:tcBorders>
              <w:top w:val="single" w:sz="12" w:space="0" w:color="000000"/>
              <w:bottom w:val="single" w:sz="12" w:space="0" w:color="000000"/>
            </w:tcBorders>
            <w:shd w:val="clear" w:color="auto" w:fill="auto"/>
          </w:tcPr>
          <w:p w14:paraId="1E9796D9" w14:textId="2549EA2F" w:rsidR="003A27D6" w:rsidRPr="00FE7CE1" w:rsidRDefault="008A6308">
            <w:pPr>
              <w:pStyle w:val="Normal10pt0"/>
              <w:keepNext/>
              <w:ind w:left="0" w:firstLine="0"/>
              <w:jc w:val="center"/>
              <w:rPr>
                <w:sz w:val="22"/>
              </w:rPr>
            </w:pPr>
            <w:r w:rsidRPr="00FE7CE1">
              <w:rPr>
                <w:sz w:val="22"/>
              </w:rPr>
              <w:t>1,5</w:t>
            </w:r>
            <w:r w:rsidR="00671040" w:rsidRPr="00FE7CE1">
              <w:rPr>
                <w:sz w:val="22"/>
              </w:rPr>
              <w:t> </w:t>
            </w:r>
            <w:r w:rsidRPr="00FE7CE1">
              <w:rPr>
                <w:sz w:val="22"/>
              </w:rPr>
              <w:t>%</w:t>
            </w:r>
          </w:p>
          <w:p w14:paraId="3882D268" w14:textId="716D7EAE" w:rsidR="003A27D6" w:rsidRPr="00FE7CE1" w:rsidRDefault="008A6308">
            <w:pPr>
              <w:pStyle w:val="Normal10pt0"/>
              <w:keepNext/>
              <w:ind w:left="0" w:firstLine="0"/>
              <w:jc w:val="center"/>
              <w:rPr>
                <w:b/>
                <w:sz w:val="22"/>
              </w:rPr>
            </w:pPr>
            <w:r w:rsidRPr="00FE7CE1">
              <w:rPr>
                <w:sz w:val="22"/>
              </w:rPr>
              <w:t>[0,3</w:t>
            </w:r>
            <w:r w:rsidR="00671040" w:rsidRPr="00FE7CE1">
              <w:rPr>
                <w:sz w:val="22"/>
              </w:rPr>
              <w:t> </w:t>
            </w:r>
            <w:r w:rsidRPr="00FE7CE1">
              <w:rPr>
                <w:sz w:val="22"/>
              </w:rPr>
              <w:t>%; 8,0</w:t>
            </w:r>
            <w:r w:rsidR="00671040" w:rsidRPr="00FE7CE1">
              <w:rPr>
                <w:sz w:val="22"/>
              </w:rPr>
              <w:t> </w:t>
            </w:r>
            <w:r w:rsidRPr="00FE7CE1">
              <w:rPr>
                <w:sz w:val="22"/>
              </w:rPr>
              <w:t>%]</w:t>
            </w:r>
          </w:p>
        </w:tc>
        <w:tc>
          <w:tcPr>
            <w:tcW w:w="3266" w:type="dxa"/>
            <w:tcBorders>
              <w:top w:val="single" w:sz="12" w:space="0" w:color="000000"/>
              <w:bottom w:val="single" w:sz="12" w:space="0" w:color="000000"/>
              <w:right w:val="single" w:sz="12" w:space="0" w:color="000000"/>
            </w:tcBorders>
            <w:shd w:val="clear" w:color="auto" w:fill="auto"/>
          </w:tcPr>
          <w:p w14:paraId="0DCEB5E1" w14:textId="2B3BD5E2" w:rsidR="003A27D6" w:rsidRPr="00FE7CE1" w:rsidRDefault="008A6308">
            <w:pPr>
              <w:pStyle w:val="Normal10pt0"/>
              <w:keepNext/>
              <w:ind w:left="0" w:firstLine="0"/>
              <w:jc w:val="center"/>
              <w:rPr>
                <w:b/>
                <w:sz w:val="22"/>
              </w:rPr>
            </w:pPr>
            <w:r w:rsidRPr="00FE7CE1">
              <w:rPr>
                <w:sz w:val="22"/>
              </w:rPr>
              <w:t>5,0</w:t>
            </w:r>
            <w:r w:rsidR="00671040" w:rsidRPr="00FE7CE1">
              <w:rPr>
                <w:sz w:val="22"/>
              </w:rPr>
              <w:t> </w:t>
            </w:r>
            <w:r w:rsidRPr="00FE7CE1">
              <w:rPr>
                <w:sz w:val="22"/>
              </w:rPr>
              <w:t>%</w:t>
            </w:r>
          </w:p>
          <w:p w14:paraId="4E2420E6" w14:textId="1CE73B6B" w:rsidR="003A27D6" w:rsidRPr="00FE7CE1" w:rsidRDefault="008A6308">
            <w:pPr>
              <w:pStyle w:val="Normal10pt0"/>
              <w:keepNext/>
              <w:ind w:left="0" w:firstLine="0"/>
              <w:jc w:val="center"/>
              <w:rPr>
                <w:b/>
                <w:sz w:val="22"/>
              </w:rPr>
            </w:pPr>
            <w:r w:rsidRPr="00FE7CE1">
              <w:rPr>
                <w:sz w:val="22"/>
              </w:rPr>
              <w:t>[2,8</w:t>
            </w:r>
            <w:r w:rsidR="00671040" w:rsidRPr="00FE7CE1">
              <w:rPr>
                <w:sz w:val="22"/>
              </w:rPr>
              <w:t> </w:t>
            </w:r>
            <w:r w:rsidRPr="00FE7CE1">
              <w:rPr>
                <w:sz w:val="22"/>
              </w:rPr>
              <w:t>%; 6,4</w:t>
            </w:r>
            <w:r w:rsidR="00671040" w:rsidRPr="00FE7CE1">
              <w:rPr>
                <w:sz w:val="22"/>
              </w:rPr>
              <w:t> </w:t>
            </w:r>
            <w:r w:rsidRPr="00FE7CE1">
              <w:rPr>
                <w:sz w:val="22"/>
              </w:rPr>
              <w:t>%]</w:t>
            </w:r>
            <w:r w:rsidRPr="00FE7CE1">
              <w:rPr>
                <w:rStyle w:val="Superscript"/>
                <w:sz w:val="22"/>
              </w:rPr>
              <w:t>c</w:t>
            </w:r>
          </w:p>
        </w:tc>
      </w:tr>
    </w:tbl>
    <w:p w14:paraId="69606991" w14:textId="1BE929D7" w:rsidR="003A27D6" w:rsidRDefault="008A6308">
      <w:pPr>
        <w:pStyle w:val="Normal10pt0"/>
        <w:keepNext/>
      </w:pPr>
      <w:r>
        <w:rPr>
          <w:rStyle w:val="Superscript"/>
        </w:rPr>
        <w:t>a</w:t>
      </w:r>
      <w:r>
        <w:t xml:space="preserve"> Serokonversio määritellään niiden tutkittavien prosenttiosuudeksi, joiden vibriosidinen vasta-ainetitteri oli vähintään nelinkertaistunut lähtötilanteesta 10</w:t>
      </w:r>
      <w:r w:rsidR="00671040">
        <w:t> </w:t>
      </w:r>
      <w:r>
        <w:t>vuorokautta rokotuksesta.</w:t>
      </w:r>
    </w:p>
    <w:p w14:paraId="32BEC20F" w14:textId="77777777" w:rsidR="003A27D6" w:rsidRDefault="008A6308">
      <w:pPr>
        <w:pStyle w:val="Normal10pt0"/>
        <w:keepNext/>
      </w:pPr>
      <w:r>
        <w:rPr>
          <w:rStyle w:val="Superscript"/>
        </w:rPr>
        <w:t>b</w:t>
      </w:r>
      <w:r>
        <w:t xml:space="preserve"> N = </w:t>
      </w:r>
      <w:bookmarkStart w:id="1" w:name="_Hlk62545659"/>
      <w:r>
        <w:t>niiden tutkittavien lukumäärä, joilta saatiin analysointikelpoisia näytteitä</w:t>
      </w:r>
      <w:bookmarkEnd w:id="1"/>
      <w:r>
        <w:t xml:space="preserve"> päivänä 1 ja päivänä 11.</w:t>
      </w:r>
    </w:p>
    <w:p w14:paraId="5B277FE1" w14:textId="77777777" w:rsidR="003A27D6" w:rsidRDefault="008A6308">
      <w:pPr>
        <w:pStyle w:val="Normal10pt0"/>
        <w:keepNext/>
      </w:pPr>
      <w:r>
        <w:rPr>
          <w:rStyle w:val="Superscript"/>
        </w:rPr>
        <w:t>c</w:t>
      </w:r>
      <w:r>
        <w:t xml:space="preserve"> CI = luottamusväli.</w:t>
      </w:r>
    </w:p>
    <w:p w14:paraId="1561D10E" w14:textId="5AF6D42D" w:rsidR="003A27D6" w:rsidRDefault="008A6308">
      <w:pPr>
        <w:pStyle w:val="Normal10pt0"/>
        <w:keepNext/>
        <w:keepLines/>
      </w:pPr>
      <w:r>
        <w:rPr>
          <w:rStyle w:val="Superscript"/>
        </w:rPr>
        <w:t>d</w:t>
      </w:r>
      <w:r>
        <w:t xml:space="preserve"> Vähintään samanveroisuuden (non-inferiority) kriteerit: 18 – &lt; 46</w:t>
      </w:r>
      <w:r>
        <w:noBreakHyphen/>
        <w:t>vuotiaiden aikuisten serokonversioprosentteihin verrattuna erolle määritetyn kaksitahoisen 98,3</w:t>
      </w:r>
      <w:r w:rsidR="00671040">
        <w:t> </w:t>
      </w:r>
      <w:r>
        <w:t>%:n luottamusvälin alarajan oli oltava suurempi kuin -10 prosenttiyksikköä ja niiden rokotettujen henkilöiden, joilla todettiin serokonversio 10</w:t>
      </w:r>
      <w:r w:rsidR="00671040">
        <w:t> </w:t>
      </w:r>
      <w:r>
        <w:t>vuorokautta rokotuksen jälkeen, osuudelle määritetyn kaksitahoisen 98,3</w:t>
      </w:r>
      <w:r w:rsidR="00671040">
        <w:t> </w:t>
      </w:r>
      <w:r>
        <w:t>%:n luottamusvälin alarajan oli oltava 70</w:t>
      </w:r>
      <w:r w:rsidR="00671040">
        <w:t> </w:t>
      </w:r>
      <w:r>
        <w:t>% tai tätä korkeampi.</w:t>
      </w:r>
    </w:p>
    <w:p w14:paraId="649DB24B" w14:textId="77777777" w:rsidR="003A27D6" w:rsidRDefault="003A27D6"/>
    <w:p w14:paraId="10CDC788" w14:textId="4A36AF98" w:rsidR="003A27D6" w:rsidRDefault="008A6308" w:rsidP="00B81B4C">
      <w:pPr>
        <w:pStyle w:val="Caption"/>
        <w:keepNext/>
        <w:keepLines/>
        <w:rPr>
          <w:sz w:val="22"/>
        </w:rPr>
      </w:pPr>
      <w:r>
        <w:rPr>
          <w:sz w:val="22"/>
        </w:rPr>
        <w:lastRenderedPageBreak/>
        <w:t xml:space="preserve">Taulukko 5: Vibriosidisten vasta-aineiden serokonversio </w:t>
      </w:r>
      <w:r>
        <w:rPr>
          <w:i/>
          <w:sz w:val="22"/>
        </w:rPr>
        <w:t>V</w:t>
      </w:r>
      <w:r w:rsidR="00697011">
        <w:rPr>
          <w:i/>
          <w:sz w:val="22"/>
        </w:rPr>
        <w:t>ibrio</w:t>
      </w:r>
      <w:r>
        <w:rPr>
          <w:sz w:val="22"/>
        </w:rPr>
        <w:t> </w:t>
      </w:r>
      <w:r>
        <w:rPr>
          <w:i/>
          <w:sz w:val="22"/>
        </w:rPr>
        <w:t>cholerae</w:t>
      </w:r>
      <w:r>
        <w:rPr>
          <w:sz w:val="22"/>
        </w:rPr>
        <w:t xml:space="preserve"> -bakteerin klassista Inaba-kantaa vastaan 12 – &lt; 18-vuotiailla lapsilla 10–729 vuorokautta rokotuksesta [immunogeenisuuden suhteen arviointikelpoinen populaatio pitkäkestoisen seurannan alatutkimuksessa]</w:t>
      </w:r>
    </w:p>
    <w:p w14:paraId="416C6F8B" w14:textId="77777777" w:rsidR="003A27D6" w:rsidRDefault="003A27D6">
      <w:pPr>
        <w:keepNext/>
        <w:keepLines/>
      </w:pPr>
    </w:p>
    <w:tbl>
      <w:tblPr>
        <w:tblW w:w="6555" w:type="dxa"/>
        <w:jc w:val="center"/>
        <w:tblLook w:val="04A0" w:firstRow="1" w:lastRow="0" w:firstColumn="1" w:lastColumn="0" w:noHBand="0" w:noVBand="1"/>
      </w:tblPr>
      <w:tblGrid>
        <w:gridCol w:w="2414"/>
        <w:gridCol w:w="1530"/>
        <w:gridCol w:w="2611"/>
      </w:tblGrid>
      <w:tr w:rsidR="003A27D6" w14:paraId="2AF81812" w14:textId="77777777">
        <w:trPr>
          <w:trHeight w:val="1156"/>
          <w:jc w:val="center"/>
        </w:trPr>
        <w:tc>
          <w:tcPr>
            <w:tcW w:w="2414" w:type="dxa"/>
            <w:tcBorders>
              <w:top w:val="single" w:sz="4" w:space="0" w:color="000000"/>
              <w:left w:val="single" w:sz="4" w:space="0" w:color="000000"/>
              <w:bottom w:val="single" w:sz="4" w:space="0" w:color="000000"/>
            </w:tcBorders>
            <w:shd w:val="clear" w:color="auto" w:fill="auto"/>
            <w:vAlign w:val="center"/>
          </w:tcPr>
          <w:p w14:paraId="77FFF7BE" w14:textId="77777777" w:rsidR="003A27D6" w:rsidRPr="00FE7CE1" w:rsidRDefault="008A6308">
            <w:pPr>
              <w:pStyle w:val="ParaText"/>
              <w:keepNext/>
              <w:keepLines/>
              <w:spacing w:before="0" w:after="0" w:line="240" w:lineRule="auto"/>
              <w:jc w:val="center"/>
              <w:rPr>
                <w:sz w:val="22"/>
                <w:szCs w:val="22"/>
                <w:lang w:val="fi-FI"/>
              </w:rPr>
            </w:pPr>
            <w:r w:rsidRPr="00FE7CE1">
              <w:rPr>
                <w:b/>
                <w:sz w:val="22"/>
                <w:szCs w:val="22"/>
                <w:lang w:val="fi-FI"/>
              </w:rPr>
              <w:t>Pediatrinen tutkimus</w:t>
            </w:r>
            <w:r w:rsidRPr="00FE7CE1">
              <w:rPr>
                <w:b/>
                <w:sz w:val="22"/>
                <w:szCs w:val="22"/>
                <w:lang w:val="fi-FI"/>
              </w:rPr>
              <w:br/>
              <w:t>(12 - &lt; 18-vuotiaat)</w:t>
            </w:r>
            <w:r w:rsidRPr="00FE7CE1">
              <w:rPr>
                <w:sz w:val="22"/>
                <w:szCs w:val="22"/>
                <w:lang w:val="fi-FI"/>
              </w:rPr>
              <w:br/>
              <w:t>vuorokautta rokotuksesta</w:t>
            </w:r>
          </w:p>
        </w:tc>
        <w:tc>
          <w:tcPr>
            <w:tcW w:w="1530" w:type="dxa"/>
            <w:tcBorders>
              <w:top w:val="single" w:sz="4" w:space="0" w:color="000000"/>
              <w:bottom w:val="single" w:sz="4" w:space="0" w:color="000000"/>
            </w:tcBorders>
            <w:shd w:val="clear" w:color="auto" w:fill="auto"/>
            <w:vAlign w:val="center"/>
          </w:tcPr>
          <w:p w14:paraId="31D02278" w14:textId="2EFB2D9E" w:rsidR="003A27D6" w:rsidRPr="00FE7CE1" w:rsidRDefault="00697011">
            <w:pPr>
              <w:pStyle w:val="ParaText"/>
              <w:keepNext/>
              <w:keepLines/>
              <w:spacing w:before="0" w:after="0" w:line="240" w:lineRule="auto"/>
              <w:jc w:val="center"/>
              <w:rPr>
                <w:b/>
                <w:sz w:val="22"/>
                <w:szCs w:val="22"/>
                <w:lang w:val="en-GB"/>
              </w:rPr>
            </w:pPr>
            <w:r w:rsidRPr="00FE7CE1">
              <w:rPr>
                <w:b/>
                <w:sz w:val="22"/>
                <w:szCs w:val="22"/>
                <w:lang w:val="en-GB"/>
              </w:rPr>
              <w:t>Vaxchora</w:t>
            </w:r>
            <w:r w:rsidR="008A6308" w:rsidRPr="00FE7CE1">
              <w:rPr>
                <w:sz w:val="22"/>
                <w:szCs w:val="22"/>
                <w:lang w:val="en-GB"/>
              </w:rPr>
              <w:br/>
              <w:t>N</w:t>
            </w:r>
            <w:r w:rsidR="008A6308" w:rsidRPr="00FE7CE1">
              <w:rPr>
                <w:sz w:val="22"/>
                <w:szCs w:val="22"/>
                <w:vertAlign w:val="superscript"/>
                <w:lang w:val="en-GB"/>
              </w:rPr>
              <w:t>b</w:t>
            </w:r>
          </w:p>
        </w:tc>
        <w:tc>
          <w:tcPr>
            <w:tcW w:w="2611" w:type="dxa"/>
            <w:tcBorders>
              <w:top w:val="single" w:sz="4" w:space="0" w:color="000000"/>
              <w:bottom w:val="single" w:sz="4" w:space="0" w:color="000000"/>
              <w:right w:val="single" w:sz="4" w:space="0" w:color="000000"/>
            </w:tcBorders>
            <w:shd w:val="clear" w:color="auto" w:fill="auto"/>
            <w:vAlign w:val="center"/>
          </w:tcPr>
          <w:p w14:paraId="18C7258C" w14:textId="7511C03D" w:rsidR="003A27D6" w:rsidRPr="00FE7CE1" w:rsidRDefault="00697011">
            <w:pPr>
              <w:pStyle w:val="ParaText"/>
              <w:keepNext/>
              <w:keepLines/>
              <w:spacing w:before="0" w:after="0" w:line="240" w:lineRule="auto"/>
              <w:jc w:val="center"/>
              <w:rPr>
                <w:b/>
                <w:sz w:val="22"/>
                <w:szCs w:val="22"/>
                <w:lang w:val="en-GB"/>
              </w:rPr>
            </w:pPr>
            <w:r w:rsidRPr="00FE7CE1">
              <w:rPr>
                <w:b/>
                <w:sz w:val="22"/>
                <w:szCs w:val="22"/>
                <w:lang w:val="en-GB"/>
              </w:rPr>
              <w:t>Vaxchora</w:t>
            </w:r>
            <w:r w:rsidR="008A6308" w:rsidRPr="00FE7CE1">
              <w:rPr>
                <w:b/>
                <w:sz w:val="22"/>
                <w:szCs w:val="22"/>
                <w:lang w:val="en-GB"/>
              </w:rPr>
              <w:br/>
              <w:t>Serokonversio</w:t>
            </w:r>
            <w:r w:rsidR="008A6308" w:rsidRPr="00FE7CE1">
              <w:rPr>
                <w:sz w:val="22"/>
                <w:szCs w:val="22"/>
                <w:vertAlign w:val="superscript"/>
                <w:lang w:val="en-GB"/>
              </w:rPr>
              <w:t>a</w:t>
            </w:r>
            <w:r w:rsidR="008A6308" w:rsidRPr="00FE7CE1">
              <w:rPr>
                <w:sz w:val="22"/>
                <w:szCs w:val="22"/>
                <w:lang w:val="en-GB"/>
              </w:rPr>
              <w:br/>
              <w:t>%</w:t>
            </w:r>
            <w:r w:rsidR="008A6308" w:rsidRPr="00FE7CE1">
              <w:rPr>
                <w:sz w:val="22"/>
                <w:szCs w:val="22"/>
                <w:lang w:val="en-GB"/>
              </w:rPr>
              <w:br/>
              <w:t>[95</w:t>
            </w:r>
            <w:r w:rsidR="00671040" w:rsidRPr="00FE7CE1">
              <w:rPr>
                <w:sz w:val="22"/>
                <w:szCs w:val="22"/>
                <w:lang w:val="en-GB"/>
              </w:rPr>
              <w:t> </w:t>
            </w:r>
            <w:r w:rsidR="008A6308" w:rsidRPr="00FE7CE1">
              <w:rPr>
                <w:sz w:val="22"/>
                <w:szCs w:val="22"/>
                <w:lang w:val="en-GB"/>
              </w:rPr>
              <w:t>%:n CI</w:t>
            </w:r>
            <w:r w:rsidR="008A6308" w:rsidRPr="00FE7CE1">
              <w:rPr>
                <w:sz w:val="22"/>
                <w:szCs w:val="22"/>
                <w:vertAlign w:val="superscript"/>
                <w:lang w:val="en-GB"/>
              </w:rPr>
              <w:t>c</w:t>
            </w:r>
            <w:r w:rsidR="008A6308" w:rsidRPr="00FE7CE1">
              <w:rPr>
                <w:sz w:val="22"/>
                <w:szCs w:val="22"/>
                <w:lang w:val="en-GB"/>
              </w:rPr>
              <w:t>]</w:t>
            </w:r>
          </w:p>
        </w:tc>
      </w:tr>
      <w:tr w:rsidR="003A27D6" w14:paraId="2C4FE31E" w14:textId="77777777">
        <w:trPr>
          <w:jc w:val="center"/>
        </w:trPr>
        <w:tc>
          <w:tcPr>
            <w:tcW w:w="2414" w:type="dxa"/>
            <w:tcBorders>
              <w:top w:val="single" w:sz="4" w:space="0" w:color="000000"/>
              <w:left w:val="single" w:sz="4" w:space="0" w:color="000000"/>
            </w:tcBorders>
            <w:shd w:val="clear" w:color="auto" w:fill="auto"/>
          </w:tcPr>
          <w:p w14:paraId="0AC02476"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10</w:t>
            </w:r>
          </w:p>
        </w:tc>
        <w:tc>
          <w:tcPr>
            <w:tcW w:w="1530" w:type="dxa"/>
            <w:tcBorders>
              <w:top w:val="single" w:sz="4" w:space="0" w:color="000000"/>
            </w:tcBorders>
            <w:shd w:val="clear" w:color="auto" w:fill="auto"/>
          </w:tcPr>
          <w:p w14:paraId="08438602"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72</w:t>
            </w:r>
          </w:p>
        </w:tc>
        <w:tc>
          <w:tcPr>
            <w:tcW w:w="2611" w:type="dxa"/>
            <w:tcBorders>
              <w:top w:val="single" w:sz="4" w:space="0" w:color="000000"/>
              <w:right w:val="single" w:sz="4" w:space="0" w:color="000000"/>
            </w:tcBorders>
            <w:shd w:val="clear" w:color="auto" w:fill="auto"/>
          </w:tcPr>
          <w:p w14:paraId="2178A49D" w14:textId="308E513B" w:rsidR="003A27D6" w:rsidRPr="00FE7CE1" w:rsidRDefault="008A6308">
            <w:pPr>
              <w:pStyle w:val="ParaText"/>
              <w:keepNext/>
              <w:keepLines/>
              <w:spacing w:before="0" w:after="0"/>
              <w:jc w:val="center"/>
              <w:rPr>
                <w:sz w:val="22"/>
                <w:szCs w:val="22"/>
                <w:lang w:val="en-GB"/>
              </w:rPr>
            </w:pPr>
            <w:r w:rsidRPr="00FE7CE1">
              <w:rPr>
                <w:sz w:val="22"/>
                <w:szCs w:val="22"/>
                <w:lang w:val="en-GB"/>
              </w:rPr>
              <w:t>100,0</w:t>
            </w:r>
            <w:r w:rsidR="00671040" w:rsidRPr="00FE7CE1">
              <w:rPr>
                <w:sz w:val="22"/>
                <w:szCs w:val="22"/>
                <w:lang w:val="en-GB"/>
              </w:rPr>
              <w:t> </w:t>
            </w:r>
            <w:r w:rsidRPr="00FE7CE1">
              <w:rPr>
                <w:sz w:val="22"/>
                <w:szCs w:val="22"/>
                <w:lang w:val="en-GB"/>
              </w:rPr>
              <w:t>%</w:t>
            </w:r>
            <w:r w:rsidRPr="00FE7CE1">
              <w:rPr>
                <w:sz w:val="22"/>
                <w:szCs w:val="22"/>
                <w:lang w:val="en-GB"/>
              </w:rPr>
              <w:br/>
              <w:t>[94,9</w:t>
            </w:r>
            <w:r w:rsidR="00671040" w:rsidRPr="00FE7CE1">
              <w:rPr>
                <w:sz w:val="22"/>
                <w:szCs w:val="22"/>
                <w:lang w:val="en-GB"/>
              </w:rPr>
              <w:t> </w:t>
            </w:r>
            <w:r w:rsidRPr="00FE7CE1">
              <w:rPr>
                <w:sz w:val="22"/>
                <w:szCs w:val="22"/>
                <w:lang w:val="en-GB"/>
              </w:rPr>
              <w:t>%, 100,0</w:t>
            </w:r>
            <w:r w:rsidR="00671040" w:rsidRPr="00FE7CE1">
              <w:rPr>
                <w:sz w:val="22"/>
                <w:szCs w:val="22"/>
                <w:lang w:val="en-GB"/>
              </w:rPr>
              <w:t> </w:t>
            </w:r>
            <w:r w:rsidRPr="00FE7CE1">
              <w:rPr>
                <w:sz w:val="22"/>
                <w:szCs w:val="22"/>
                <w:lang w:val="en-GB"/>
              </w:rPr>
              <w:t>%]</w:t>
            </w:r>
          </w:p>
        </w:tc>
      </w:tr>
      <w:tr w:rsidR="003A27D6" w14:paraId="6239F71E" w14:textId="77777777">
        <w:trPr>
          <w:jc w:val="center"/>
        </w:trPr>
        <w:tc>
          <w:tcPr>
            <w:tcW w:w="2414" w:type="dxa"/>
            <w:tcBorders>
              <w:left w:val="single" w:sz="4" w:space="0" w:color="000000"/>
            </w:tcBorders>
            <w:shd w:val="clear" w:color="auto" w:fill="auto"/>
          </w:tcPr>
          <w:p w14:paraId="0FC8C5B3"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28</w:t>
            </w:r>
          </w:p>
        </w:tc>
        <w:tc>
          <w:tcPr>
            <w:tcW w:w="1530" w:type="dxa"/>
            <w:shd w:val="clear" w:color="auto" w:fill="auto"/>
          </w:tcPr>
          <w:p w14:paraId="245528AA"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72</w:t>
            </w:r>
          </w:p>
        </w:tc>
        <w:tc>
          <w:tcPr>
            <w:tcW w:w="2611" w:type="dxa"/>
            <w:tcBorders>
              <w:right w:val="single" w:sz="4" w:space="0" w:color="000000"/>
            </w:tcBorders>
            <w:shd w:val="clear" w:color="auto" w:fill="auto"/>
          </w:tcPr>
          <w:p w14:paraId="7205C3EB" w14:textId="501028B0" w:rsidR="003A27D6" w:rsidRPr="00FE7CE1" w:rsidRDefault="008A6308">
            <w:pPr>
              <w:pStyle w:val="ParaText"/>
              <w:keepNext/>
              <w:keepLines/>
              <w:spacing w:before="0" w:after="0"/>
              <w:jc w:val="center"/>
              <w:rPr>
                <w:sz w:val="22"/>
                <w:szCs w:val="22"/>
                <w:lang w:val="en-GB"/>
              </w:rPr>
            </w:pPr>
            <w:r w:rsidRPr="00FE7CE1">
              <w:rPr>
                <w:sz w:val="22"/>
                <w:szCs w:val="22"/>
                <w:lang w:val="en-GB"/>
              </w:rPr>
              <w:t>100,0</w:t>
            </w:r>
            <w:r w:rsidR="00671040" w:rsidRPr="00FE7CE1">
              <w:rPr>
                <w:sz w:val="22"/>
                <w:szCs w:val="22"/>
                <w:lang w:val="en-GB"/>
              </w:rPr>
              <w:t> </w:t>
            </w:r>
            <w:r w:rsidRPr="00FE7CE1">
              <w:rPr>
                <w:sz w:val="22"/>
                <w:szCs w:val="22"/>
                <w:lang w:val="en-GB"/>
              </w:rPr>
              <w:t>%</w:t>
            </w:r>
            <w:r w:rsidRPr="00FE7CE1">
              <w:rPr>
                <w:sz w:val="22"/>
                <w:szCs w:val="22"/>
                <w:lang w:val="en-GB"/>
              </w:rPr>
              <w:br/>
              <w:t>[94,9</w:t>
            </w:r>
            <w:r w:rsidR="00671040" w:rsidRPr="00FE7CE1">
              <w:rPr>
                <w:sz w:val="22"/>
                <w:szCs w:val="22"/>
                <w:lang w:val="en-GB"/>
              </w:rPr>
              <w:t> </w:t>
            </w:r>
            <w:r w:rsidRPr="00FE7CE1">
              <w:rPr>
                <w:sz w:val="22"/>
                <w:szCs w:val="22"/>
                <w:lang w:val="en-GB"/>
              </w:rPr>
              <w:t>%, 100,0</w:t>
            </w:r>
            <w:r w:rsidR="00671040" w:rsidRPr="00FE7CE1">
              <w:rPr>
                <w:sz w:val="22"/>
                <w:szCs w:val="22"/>
                <w:lang w:val="en-GB"/>
              </w:rPr>
              <w:t> </w:t>
            </w:r>
            <w:r w:rsidRPr="00FE7CE1">
              <w:rPr>
                <w:sz w:val="22"/>
                <w:szCs w:val="22"/>
                <w:lang w:val="en-GB"/>
              </w:rPr>
              <w:t>%]</w:t>
            </w:r>
          </w:p>
        </w:tc>
      </w:tr>
      <w:tr w:rsidR="003A27D6" w14:paraId="7D68A79E" w14:textId="77777777">
        <w:trPr>
          <w:jc w:val="center"/>
        </w:trPr>
        <w:tc>
          <w:tcPr>
            <w:tcW w:w="2414" w:type="dxa"/>
            <w:tcBorders>
              <w:left w:val="single" w:sz="4" w:space="0" w:color="000000"/>
            </w:tcBorders>
            <w:shd w:val="clear" w:color="auto" w:fill="auto"/>
          </w:tcPr>
          <w:p w14:paraId="64CA37B3"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90</w:t>
            </w:r>
          </w:p>
        </w:tc>
        <w:tc>
          <w:tcPr>
            <w:tcW w:w="1530" w:type="dxa"/>
            <w:shd w:val="clear" w:color="auto" w:fill="auto"/>
          </w:tcPr>
          <w:p w14:paraId="3CC7CD42"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72</w:t>
            </w:r>
          </w:p>
        </w:tc>
        <w:tc>
          <w:tcPr>
            <w:tcW w:w="2611" w:type="dxa"/>
            <w:tcBorders>
              <w:right w:val="single" w:sz="4" w:space="0" w:color="000000"/>
            </w:tcBorders>
            <w:shd w:val="clear" w:color="auto" w:fill="auto"/>
          </w:tcPr>
          <w:p w14:paraId="581A20C9" w14:textId="25E005D4" w:rsidR="003A27D6" w:rsidRPr="00FE7CE1" w:rsidRDefault="008A6308">
            <w:pPr>
              <w:pStyle w:val="ParaText"/>
              <w:keepNext/>
              <w:keepLines/>
              <w:spacing w:before="0" w:after="0"/>
              <w:jc w:val="center"/>
              <w:rPr>
                <w:sz w:val="22"/>
                <w:szCs w:val="22"/>
                <w:lang w:val="en-GB"/>
              </w:rPr>
            </w:pPr>
            <w:r w:rsidRPr="00FE7CE1">
              <w:rPr>
                <w:sz w:val="22"/>
                <w:szCs w:val="22"/>
                <w:lang w:val="en-GB"/>
              </w:rPr>
              <w:t>88,9</w:t>
            </w:r>
            <w:r w:rsidR="00671040" w:rsidRPr="00FE7CE1">
              <w:rPr>
                <w:sz w:val="22"/>
                <w:szCs w:val="22"/>
                <w:lang w:val="en-GB"/>
              </w:rPr>
              <w:t> </w:t>
            </w:r>
            <w:r w:rsidRPr="00FE7CE1">
              <w:rPr>
                <w:sz w:val="22"/>
                <w:szCs w:val="22"/>
                <w:lang w:val="en-GB"/>
              </w:rPr>
              <w:t>%</w:t>
            </w:r>
            <w:r w:rsidRPr="00FE7CE1">
              <w:rPr>
                <w:sz w:val="22"/>
                <w:szCs w:val="22"/>
                <w:lang w:val="en-GB"/>
              </w:rPr>
              <w:br/>
              <w:t>[79,6</w:t>
            </w:r>
            <w:r w:rsidR="00671040" w:rsidRPr="00FE7CE1">
              <w:rPr>
                <w:sz w:val="22"/>
                <w:szCs w:val="22"/>
                <w:lang w:val="en-GB"/>
              </w:rPr>
              <w:t> </w:t>
            </w:r>
            <w:r w:rsidRPr="00FE7CE1">
              <w:rPr>
                <w:sz w:val="22"/>
                <w:szCs w:val="22"/>
                <w:lang w:val="en-GB"/>
              </w:rPr>
              <w:t>%, 94,3</w:t>
            </w:r>
            <w:r w:rsidR="00671040" w:rsidRPr="00FE7CE1">
              <w:rPr>
                <w:sz w:val="22"/>
                <w:szCs w:val="22"/>
                <w:lang w:val="en-GB"/>
              </w:rPr>
              <w:t> </w:t>
            </w:r>
            <w:r w:rsidRPr="00FE7CE1">
              <w:rPr>
                <w:sz w:val="22"/>
                <w:szCs w:val="22"/>
                <w:lang w:val="en-GB"/>
              </w:rPr>
              <w:t>%]</w:t>
            </w:r>
          </w:p>
        </w:tc>
      </w:tr>
      <w:tr w:rsidR="003A27D6" w14:paraId="49C5C3E4" w14:textId="77777777">
        <w:trPr>
          <w:jc w:val="center"/>
        </w:trPr>
        <w:tc>
          <w:tcPr>
            <w:tcW w:w="2414" w:type="dxa"/>
            <w:tcBorders>
              <w:left w:val="single" w:sz="4" w:space="0" w:color="000000"/>
            </w:tcBorders>
            <w:shd w:val="clear" w:color="auto" w:fill="auto"/>
          </w:tcPr>
          <w:p w14:paraId="32F3481E"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180</w:t>
            </w:r>
          </w:p>
        </w:tc>
        <w:tc>
          <w:tcPr>
            <w:tcW w:w="1530" w:type="dxa"/>
            <w:shd w:val="clear" w:color="auto" w:fill="auto"/>
          </w:tcPr>
          <w:p w14:paraId="3A227A25"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71</w:t>
            </w:r>
          </w:p>
        </w:tc>
        <w:tc>
          <w:tcPr>
            <w:tcW w:w="2611" w:type="dxa"/>
            <w:tcBorders>
              <w:right w:val="single" w:sz="4" w:space="0" w:color="000000"/>
            </w:tcBorders>
            <w:shd w:val="clear" w:color="auto" w:fill="auto"/>
          </w:tcPr>
          <w:p w14:paraId="57B4AFB6" w14:textId="6DBC0FDC" w:rsidR="003A27D6" w:rsidRPr="00FE7CE1" w:rsidRDefault="008A6308">
            <w:pPr>
              <w:pStyle w:val="ParaText"/>
              <w:keepNext/>
              <w:keepLines/>
              <w:spacing w:before="0" w:after="0"/>
              <w:jc w:val="center"/>
              <w:rPr>
                <w:sz w:val="22"/>
                <w:szCs w:val="22"/>
                <w:lang w:val="en-GB"/>
              </w:rPr>
            </w:pPr>
            <w:r w:rsidRPr="00FE7CE1">
              <w:rPr>
                <w:sz w:val="22"/>
                <w:szCs w:val="22"/>
                <w:lang w:val="en-GB"/>
              </w:rPr>
              <w:t>83,1</w:t>
            </w:r>
            <w:r w:rsidR="00671040" w:rsidRPr="00FE7CE1">
              <w:rPr>
                <w:sz w:val="22"/>
                <w:szCs w:val="22"/>
                <w:lang w:val="en-GB"/>
              </w:rPr>
              <w:t> </w:t>
            </w:r>
            <w:r w:rsidRPr="00FE7CE1">
              <w:rPr>
                <w:sz w:val="22"/>
                <w:szCs w:val="22"/>
                <w:lang w:val="en-GB"/>
              </w:rPr>
              <w:t>%</w:t>
            </w:r>
            <w:r w:rsidRPr="00FE7CE1">
              <w:rPr>
                <w:sz w:val="22"/>
                <w:szCs w:val="22"/>
                <w:lang w:val="en-GB"/>
              </w:rPr>
              <w:br/>
              <w:t>[72,7</w:t>
            </w:r>
            <w:r w:rsidR="00671040" w:rsidRPr="00FE7CE1">
              <w:rPr>
                <w:sz w:val="22"/>
                <w:szCs w:val="22"/>
                <w:lang w:val="en-GB"/>
              </w:rPr>
              <w:t> </w:t>
            </w:r>
            <w:r w:rsidRPr="00FE7CE1">
              <w:rPr>
                <w:sz w:val="22"/>
                <w:szCs w:val="22"/>
                <w:lang w:val="en-GB"/>
              </w:rPr>
              <w:t>%, 90,1</w:t>
            </w:r>
            <w:r w:rsidR="00671040" w:rsidRPr="00FE7CE1">
              <w:rPr>
                <w:sz w:val="22"/>
                <w:szCs w:val="22"/>
                <w:lang w:val="en-GB"/>
              </w:rPr>
              <w:t> </w:t>
            </w:r>
            <w:r w:rsidRPr="00FE7CE1">
              <w:rPr>
                <w:sz w:val="22"/>
                <w:szCs w:val="22"/>
                <w:lang w:val="en-GB"/>
              </w:rPr>
              <w:t>%]</w:t>
            </w:r>
          </w:p>
        </w:tc>
      </w:tr>
      <w:tr w:rsidR="003A27D6" w14:paraId="10DA1D1D" w14:textId="77777777">
        <w:trPr>
          <w:jc w:val="center"/>
        </w:trPr>
        <w:tc>
          <w:tcPr>
            <w:tcW w:w="2414" w:type="dxa"/>
            <w:tcBorders>
              <w:left w:val="single" w:sz="4" w:space="0" w:color="000000"/>
            </w:tcBorders>
            <w:shd w:val="clear" w:color="auto" w:fill="auto"/>
          </w:tcPr>
          <w:p w14:paraId="42F8D573"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364</w:t>
            </w:r>
          </w:p>
        </w:tc>
        <w:tc>
          <w:tcPr>
            <w:tcW w:w="1530" w:type="dxa"/>
            <w:shd w:val="clear" w:color="auto" w:fill="auto"/>
          </w:tcPr>
          <w:p w14:paraId="5F216B87"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70</w:t>
            </w:r>
          </w:p>
        </w:tc>
        <w:tc>
          <w:tcPr>
            <w:tcW w:w="2611" w:type="dxa"/>
            <w:tcBorders>
              <w:right w:val="single" w:sz="4" w:space="0" w:color="000000"/>
            </w:tcBorders>
            <w:shd w:val="clear" w:color="auto" w:fill="auto"/>
          </w:tcPr>
          <w:p w14:paraId="2026F036" w14:textId="515AA96E" w:rsidR="003A27D6" w:rsidRPr="00FE7CE1" w:rsidRDefault="008A6308">
            <w:pPr>
              <w:pStyle w:val="ParaText"/>
              <w:keepNext/>
              <w:keepLines/>
              <w:spacing w:before="0" w:after="0"/>
              <w:jc w:val="center"/>
              <w:rPr>
                <w:sz w:val="22"/>
                <w:szCs w:val="22"/>
                <w:lang w:val="en-GB"/>
              </w:rPr>
            </w:pPr>
            <w:r w:rsidRPr="00FE7CE1">
              <w:rPr>
                <w:sz w:val="22"/>
                <w:szCs w:val="22"/>
                <w:lang w:val="en-GB"/>
              </w:rPr>
              <w:t>68,6</w:t>
            </w:r>
            <w:r w:rsidR="00671040" w:rsidRPr="00FE7CE1">
              <w:rPr>
                <w:sz w:val="22"/>
                <w:szCs w:val="22"/>
                <w:lang w:val="en-GB"/>
              </w:rPr>
              <w:t> </w:t>
            </w:r>
            <w:r w:rsidRPr="00FE7CE1">
              <w:rPr>
                <w:sz w:val="22"/>
                <w:szCs w:val="22"/>
                <w:lang w:val="en-GB"/>
              </w:rPr>
              <w:t>%</w:t>
            </w:r>
            <w:r w:rsidRPr="00FE7CE1">
              <w:rPr>
                <w:sz w:val="22"/>
                <w:szCs w:val="22"/>
                <w:lang w:val="en-GB"/>
              </w:rPr>
              <w:br/>
              <w:t>[57,0</w:t>
            </w:r>
            <w:r w:rsidR="00671040" w:rsidRPr="00FE7CE1">
              <w:rPr>
                <w:sz w:val="22"/>
                <w:szCs w:val="22"/>
                <w:lang w:val="en-GB"/>
              </w:rPr>
              <w:t> </w:t>
            </w:r>
            <w:r w:rsidRPr="00FE7CE1">
              <w:rPr>
                <w:sz w:val="22"/>
                <w:szCs w:val="22"/>
                <w:lang w:val="en-GB"/>
              </w:rPr>
              <w:t>%, 78,2</w:t>
            </w:r>
            <w:r w:rsidR="00671040" w:rsidRPr="00FE7CE1">
              <w:rPr>
                <w:sz w:val="22"/>
                <w:szCs w:val="22"/>
                <w:lang w:val="en-GB"/>
              </w:rPr>
              <w:t> </w:t>
            </w:r>
            <w:r w:rsidRPr="00FE7CE1">
              <w:rPr>
                <w:sz w:val="22"/>
                <w:szCs w:val="22"/>
                <w:lang w:val="en-GB"/>
              </w:rPr>
              <w:t>%]</w:t>
            </w:r>
          </w:p>
        </w:tc>
      </w:tr>
      <w:tr w:rsidR="003A27D6" w14:paraId="068EE6D2" w14:textId="77777777">
        <w:trPr>
          <w:jc w:val="center"/>
        </w:trPr>
        <w:tc>
          <w:tcPr>
            <w:tcW w:w="2414" w:type="dxa"/>
            <w:tcBorders>
              <w:left w:val="single" w:sz="4" w:space="0" w:color="000000"/>
            </w:tcBorders>
            <w:shd w:val="clear" w:color="auto" w:fill="auto"/>
          </w:tcPr>
          <w:p w14:paraId="1A9B9EAE"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546</w:t>
            </w:r>
          </w:p>
        </w:tc>
        <w:tc>
          <w:tcPr>
            <w:tcW w:w="1530" w:type="dxa"/>
            <w:shd w:val="clear" w:color="auto" w:fill="auto"/>
          </w:tcPr>
          <w:p w14:paraId="5F233514"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67</w:t>
            </w:r>
          </w:p>
        </w:tc>
        <w:tc>
          <w:tcPr>
            <w:tcW w:w="2611" w:type="dxa"/>
            <w:tcBorders>
              <w:right w:val="single" w:sz="4" w:space="0" w:color="000000"/>
            </w:tcBorders>
            <w:shd w:val="clear" w:color="auto" w:fill="auto"/>
          </w:tcPr>
          <w:p w14:paraId="64B81F1F" w14:textId="5D9B2100" w:rsidR="003A27D6" w:rsidRPr="00FE7CE1" w:rsidRDefault="008A6308">
            <w:pPr>
              <w:pStyle w:val="ParaText"/>
              <w:keepNext/>
              <w:keepLines/>
              <w:spacing w:before="0" w:after="0"/>
              <w:jc w:val="center"/>
              <w:rPr>
                <w:sz w:val="22"/>
                <w:szCs w:val="22"/>
                <w:lang w:val="en-GB"/>
              </w:rPr>
            </w:pPr>
            <w:r w:rsidRPr="00FE7CE1">
              <w:rPr>
                <w:sz w:val="22"/>
                <w:szCs w:val="22"/>
                <w:lang w:val="en-GB"/>
              </w:rPr>
              <w:t>73,1</w:t>
            </w:r>
            <w:r w:rsidR="00671040" w:rsidRPr="00FE7CE1">
              <w:rPr>
                <w:sz w:val="22"/>
                <w:szCs w:val="22"/>
                <w:lang w:val="en-GB"/>
              </w:rPr>
              <w:t> </w:t>
            </w:r>
            <w:r w:rsidRPr="00FE7CE1">
              <w:rPr>
                <w:sz w:val="22"/>
                <w:szCs w:val="22"/>
                <w:lang w:val="en-GB"/>
              </w:rPr>
              <w:t>%</w:t>
            </w:r>
            <w:r w:rsidRPr="00FE7CE1">
              <w:rPr>
                <w:sz w:val="22"/>
                <w:szCs w:val="22"/>
                <w:lang w:val="en-GB"/>
              </w:rPr>
              <w:br/>
              <w:t>[61,5</w:t>
            </w:r>
            <w:r w:rsidR="00671040" w:rsidRPr="00FE7CE1">
              <w:rPr>
                <w:sz w:val="22"/>
                <w:szCs w:val="22"/>
                <w:lang w:val="en-GB"/>
              </w:rPr>
              <w:t> </w:t>
            </w:r>
            <w:r w:rsidRPr="00FE7CE1">
              <w:rPr>
                <w:sz w:val="22"/>
                <w:szCs w:val="22"/>
                <w:lang w:val="en-GB"/>
              </w:rPr>
              <w:t>%, 82,3</w:t>
            </w:r>
            <w:r w:rsidR="00671040" w:rsidRPr="00FE7CE1">
              <w:rPr>
                <w:sz w:val="22"/>
                <w:szCs w:val="22"/>
                <w:lang w:val="en-GB"/>
              </w:rPr>
              <w:t> </w:t>
            </w:r>
            <w:r w:rsidRPr="00FE7CE1">
              <w:rPr>
                <w:sz w:val="22"/>
                <w:szCs w:val="22"/>
                <w:lang w:val="en-GB"/>
              </w:rPr>
              <w:t>%]</w:t>
            </w:r>
          </w:p>
        </w:tc>
      </w:tr>
      <w:tr w:rsidR="003A27D6" w14:paraId="5B1576BB" w14:textId="77777777">
        <w:trPr>
          <w:jc w:val="center"/>
        </w:trPr>
        <w:tc>
          <w:tcPr>
            <w:tcW w:w="2414" w:type="dxa"/>
            <w:tcBorders>
              <w:left w:val="single" w:sz="4" w:space="0" w:color="000000"/>
              <w:bottom w:val="single" w:sz="4" w:space="0" w:color="000000"/>
            </w:tcBorders>
            <w:shd w:val="clear" w:color="auto" w:fill="auto"/>
          </w:tcPr>
          <w:p w14:paraId="3339B1C0"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729</w:t>
            </w:r>
          </w:p>
        </w:tc>
        <w:tc>
          <w:tcPr>
            <w:tcW w:w="1530" w:type="dxa"/>
            <w:tcBorders>
              <w:bottom w:val="single" w:sz="4" w:space="0" w:color="000000"/>
            </w:tcBorders>
            <w:shd w:val="clear" w:color="auto" w:fill="auto"/>
          </w:tcPr>
          <w:p w14:paraId="4764D3B6" w14:textId="77777777" w:rsidR="003A27D6" w:rsidRPr="00FE7CE1" w:rsidRDefault="008A6308">
            <w:pPr>
              <w:pStyle w:val="ParaText"/>
              <w:keepNext/>
              <w:keepLines/>
              <w:spacing w:before="0" w:after="0"/>
              <w:jc w:val="center"/>
              <w:rPr>
                <w:sz w:val="22"/>
                <w:szCs w:val="22"/>
                <w:lang w:val="en-GB"/>
              </w:rPr>
            </w:pPr>
            <w:r w:rsidRPr="00FE7CE1">
              <w:rPr>
                <w:sz w:val="22"/>
                <w:szCs w:val="22"/>
                <w:lang w:val="en-GB"/>
              </w:rPr>
              <w:t>62</w:t>
            </w:r>
          </w:p>
        </w:tc>
        <w:tc>
          <w:tcPr>
            <w:tcW w:w="2611" w:type="dxa"/>
            <w:tcBorders>
              <w:bottom w:val="single" w:sz="4" w:space="0" w:color="000000"/>
              <w:right w:val="single" w:sz="4" w:space="0" w:color="000000"/>
            </w:tcBorders>
            <w:shd w:val="clear" w:color="auto" w:fill="auto"/>
          </w:tcPr>
          <w:p w14:paraId="021AD978" w14:textId="2D6DF9C7" w:rsidR="003A27D6" w:rsidRPr="00FE7CE1" w:rsidRDefault="008A6308">
            <w:pPr>
              <w:pStyle w:val="ParaText"/>
              <w:keepNext/>
              <w:keepLines/>
              <w:spacing w:before="0" w:after="0"/>
              <w:jc w:val="center"/>
              <w:rPr>
                <w:sz w:val="22"/>
                <w:szCs w:val="22"/>
                <w:lang w:val="en-GB"/>
              </w:rPr>
            </w:pPr>
            <w:r w:rsidRPr="00FE7CE1">
              <w:rPr>
                <w:sz w:val="22"/>
                <w:szCs w:val="22"/>
                <w:lang w:val="en-GB"/>
              </w:rPr>
              <w:t>64,5</w:t>
            </w:r>
            <w:r w:rsidR="00671040" w:rsidRPr="00FE7CE1">
              <w:rPr>
                <w:sz w:val="22"/>
                <w:szCs w:val="22"/>
                <w:lang w:val="en-GB"/>
              </w:rPr>
              <w:t> </w:t>
            </w:r>
            <w:r w:rsidRPr="00FE7CE1">
              <w:rPr>
                <w:sz w:val="22"/>
                <w:szCs w:val="22"/>
                <w:lang w:val="en-GB"/>
              </w:rPr>
              <w:t>%</w:t>
            </w:r>
            <w:r w:rsidRPr="00FE7CE1">
              <w:rPr>
                <w:sz w:val="22"/>
                <w:szCs w:val="22"/>
                <w:lang w:val="en-GB"/>
              </w:rPr>
              <w:br/>
              <w:t>[52,1</w:t>
            </w:r>
            <w:r w:rsidR="00671040" w:rsidRPr="00FE7CE1">
              <w:rPr>
                <w:sz w:val="22"/>
                <w:szCs w:val="22"/>
                <w:lang w:val="en-GB"/>
              </w:rPr>
              <w:t> </w:t>
            </w:r>
            <w:r w:rsidRPr="00FE7CE1">
              <w:rPr>
                <w:sz w:val="22"/>
                <w:szCs w:val="22"/>
                <w:lang w:val="en-GB"/>
              </w:rPr>
              <w:t>%, 75,3</w:t>
            </w:r>
            <w:r w:rsidR="00671040" w:rsidRPr="00FE7CE1">
              <w:rPr>
                <w:sz w:val="22"/>
                <w:szCs w:val="22"/>
                <w:lang w:val="en-GB"/>
              </w:rPr>
              <w:t> </w:t>
            </w:r>
            <w:r w:rsidRPr="00FE7CE1">
              <w:rPr>
                <w:sz w:val="22"/>
                <w:szCs w:val="22"/>
                <w:lang w:val="en-GB"/>
              </w:rPr>
              <w:t>%]</w:t>
            </w:r>
          </w:p>
        </w:tc>
      </w:tr>
    </w:tbl>
    <w:p w14:paraId="6178CF3B" w14:textId="69E26E56" w:rsidR="003A27D6" w:rsidRDefault="008A6308">
      <w:pPr>
        <w:pStyle w:val="TableFigureNote"/>
        <w:keepNext/>
        <w:keepLines/>
        <w:spacing w:before="0" w:line="240" w:lineRule="auto"/>
        <w:ind w:left="284" w:hanging="284"/>
        <w:rPr>
          <w:lang w:val="fi-FI"/>
        </w:rPr>
      </w:pPr>
      <w:r>
        <w:rPr>
          <w:vertAlign w:val="superscript"/>
          <w:lang w:val="fi-FI"/>
        </w:rPr>
        <w:t>a</w:t>
      </w:r>
      <w:r w:rsidR="00B81B4C">
        <w:rPr>
          <w:lang w:val="fi-FI"/>
        </w:rPr>
        <w:tab/>
      </w:r>
      <w:r>
        <w:rPr>
          <w:lang w:val="fi-FI"/>
        </w:rPr>
        <w:t>Serokonversio määritellään niiden tutkittavien prosenttiosuudeksi, joiden vibriosidinen vasta-ainetitteri oli vähintään nelinkertaistunut lähtötilanteesta rokotuksen jälkeen.</w:t>
      </w:r>
    </w:p>
    <w:p w14:paraId="72B2FF78" w14:textId="2B8ED814" w:rsidR="003A27D6" w:rsidRDefault="008A6308">
      <w:pPr>
        <w:pStyle w:val="TableFigureNote"/>
        <w:keepNext/>
        <w:keepLines/>
        <w:spacing w:before="0" w:line="240" w:lineRule="auto"/>
        <w:ind w:left="284" w:hanging="284"/>
        <w:rPr>
          <w:lang w:val="fi-FI"/>
        </w:rPr>
      </w:pPr>
      <w:r>
        <w:rPr>
          <w:vertAlign w:val="superscript"/>
          <w:lang w:val="fi-FI"/>
        </w:rPr>
        <w:t>b</w:t>
      </w:r>
      <w:r w:rsidR="00B81B4C">
        <w:rPr>
          <w:lang w:val="fi-FI"/>
        </w:rPr>
        <w:tab/>
      </w:r>
      <w:r>
        <w:rPr>
          <w:lang w:val="fi-FI"/>
        </w:rPr>
        <w:t>N = niiden tutkittavien lukumäärä, joilta saatiin analysointikelpoisia näytteitä pitkäkestoisen seurannan alatutkimuksen immunogeenisuuden suhteen arviointikelpoisessa populaatiossa.</w:t>
      </w:r>
    </w:p>
    <w:p w14:paraId="57FF9428" w14:textId="18B1411D" w:rsidR="003A27D6" w:rsidRPr="00FE7CE1" w:rsidRDefault="008A6308">
      <w:pPr>
        <w:ind w:left="270" w:hanging="270"/>
        <w:rPr>
          <w:sz w:val="20"/>
          <w:szCs w:val="20"/>
        </w:rPr>
      </w:pPr>
      <w:r w:rsidRPr="00FE7CE1">
        <w:rPr>
          <w:sz w:val="20"/>
          <w:szCs w:val="20"/>
          <w:vertAlign w:val="superscript"/>
        </w:rPr>
        <w:t>c</w:t>
      </w:r>
      <w:r w:rsidR="00B81B4C">
        <w:rPr>
          <w:sz w:val="20"/>
          <w:szCs w:val="20"/>
        </w:rPr>
        <w:tab/>
      </w:r>
      <w:r w:rsidRPr="00FE7CE1">
        <w:rPr>
          <w:sz w:val="20"/>
          <w:szCs w:val="20"/>
        </w:rPr>
        <w:t>CI = luottamusväli.</w:t>
      </w:r>
    </w:p>
    <w:p w14:paraId="02E39C39" w14:textId="77777777" w:rsidR="003A27D6" w:rsidRDefault="003A27D6"/>
    <w:p w14:paraId="70ECFA71" w14:textId="77777777" w:rsidR="003A27D6" w:rsidRDefault="008A6308">
      <w:r>
        <w:t>Euroopan lääkevirasto on myöntänyt lykkäyksen velvoitteelle toimittaa tutkimustulokset Vaxchoran käytöstä koleran ehkäisyssä yhdessä tai useammassa pediatrisessa potilasryhmässä (ks. kohdasta 4.2 ohjeet käytöstä pediatristen potilaiden hoidossa).</w:t>
      </w:r>
    </w:p>
    <w:p w14:paraId="4E50A2AF" w14:textId="77777777" w:rsidR="003A27D6" w:rsidRDefault="003A27D6"/>
    <w:p w14:paraId="067DF80F" w14:textId="77777777" w:rsidR="003A27D6" w:rsidRDefault="008A6308">
      <w:pPr>
        <w:pStyle w:val="Heading2"/>
      </w:pPr>
      <w:r>
        <w:t>5.2</w:t>
      </w:r>
      <w:r>
        <w:tab/>
        <w:t>Farmakokinetiikka</w:t>
      </w:r>
    </w:p>
    <w:p w14:paraId="29A1FAD1" w14:textId="77777777" w:rsidR="003A27D6" w:rsidRDefault="003A27D6">
      <w:pPr>
        <w:keepNext/>
      </w:pPr>
    </w:p>
    <w:p w14:paraId="461FF393" w14:textId="77777777" w:rsidR="003A27D6" w:rsidRDefault="008A6308">
      <w:r>
        <w:t>Ei oleellinen.</w:t>
      </w:r>
    </w:p>
    <w:p w14:paraId="52D02B76" w14:textId="77777777" w:rsidR="003A27D6" w:rsidRDefault="003A27D6"/>
    <w:p w14:paraId="17203EA3" w14:textId="77777777" w:rsidR="003A27D6" w:rsidRDefault="008A6308">
      <w:pPr>
        <w:pStyle w:val="Heading2"/>
      </w:pPr>
      <w:r>
        <w:t>5.3</w:t>
      </w:r>
      <w:r>
        <w:tab/>
        <w:t>Prekliiniset tiedot turvallisuudesta</w:t>
      </w:r>
    </w:p>
    <w:p w14:paraId="4B0FB4DA" w14:textId="77777777" w:rsidR="003A27D6" w:rsidRDefault="003A27D6">
      <w:pPr>
        <w:keepNext/>
      </w:pPr>
    </w:p>
    <w:p w14:paraId="3499ED88" w14:textId="77777777" w:rsidR="003A27D6" w:rsidRDefault="008A6308">
      <w:r>
        <w:t>Vaxchorasta ei ole saatavilla prekliinisiä tietoja turvallisuudesta.</w:t>
      </w:r>
    </w:p>
    <w:p w14:paraId="103A482F" w14:textId="77777777" w:rsidR="003A27D6" w:rsidRDefault="003A27D6"/>
    <w:p w14:paraId="26EFFB62" w14:textId="77777777" w:rsidR="003A27D6" w:rsidRDefault="003A27D6"/>
    <w:p w14:paraId="5F8B9CF1" w14:textId="77777777" w:rsidR="003A27D6" w:rsidRDefault="008A6308">
      <w:pPr>
        <w:pStyle w:val="Heading1"/>
        <w:ind w:left="567" w:hanging="567"/>
      </w:pPr>
      <w:r>
        <w:t>6.</w:t>
      </w:r>
      <w:r>
        <w:tab/>
        <w:t>FARMASEUTTISET TIEDOT</w:t>
      </w:r>
    </w:p>
    <w:p w14:paraId="0A10A830" w14:textId="77777777" w:rsidR="003A27D6" w:rsidRDefault="003A27D6">
      <w:pPr>
        <w:keepNext/>
      </w:pPr>
    </w:p>
    <w:p w14:paraId="3C10FCB9" w14:textId="77777777" w:rsidR="003A27D6" w:rsidRDefault="008A6308">
      <w:pPr>
        <w:pStyle w:val="Heading2"/>
      </w:pPr>
      <w:r>
        <w:t>6.1</w:t>
      </w:r>
      <w:r>
        <w:tab/>
        <w:t>Apuaineet</w:t>
      </w:r>
    </w:p>
    <w:p w14:paraId="72BC2364" w14:textId="77777777" w:rsidR="003A27D6" w:rsidRDefault="003A27D6">
      <w:pPr>
        <w:keepNext/>
      </w:pPr>
    </w:p>
    <w:p w14:paraId="36A69988" w14:textId="77777777" w:rsidR="003A27D6" w:rsidRPr="00FE7CE1" w:rsidRDefault="008A6308">
      <w:pPr>
        <w:pStyle w:val="HeadingStrongEmphasis"/>
        <w:rPr>
          <w:b w:val="0"/>
          <w:bCs w:val="0"/>
        </w:rPr>
      </w:pPr>
      <w:r w:rsidRPr="00FE7CE1">
        <w:rPr>
          <w:b w:val="0"/>
          <w:bCs w:val="0"/>
        </w:rPr>
        <w:t>Puskuri, annospussi 1:</w:t>
      </w:r>
    </w:p>
    <w:p w14:paraId="305CC6F5" w14:textId="77777777" w:rsidR="003A27D6" w:rsidRDefault="008A6308">
      <w:r>
        <w:t>Natriumbikarbonaatti</w:t>
      </w:r>
    </w:p>
    <w:p w14:paraId="72496298" w14:textId="77777777" w:rsidR="003A27D6" w:rsidRDefault="008A6308">
      <w:r>
        <w:t>Natriumkarbonaatti</w:t>
      </w:r>
    </w:p>
    <w:p w14:paraId="045846E7" w14:textId="77777777" w:rsidR="003A27D6" w:rsidRDefault="008A6308">
      <w:r>
        <w:t>Askorbiinihappo</w:t>
      </w:r>
    </w:p>
    <w:p w14:paraId="49A4ABC3" w14:textId="77777777" w:rsidR="003A27D6" w:rsidRDefault="008A6308">
      <w:r>
        <w:t>Laktoosi</w:t>
      </w:r>
    </w:p>
    <w:p w14:paraId="4D5E393F" w14:textId="77777777" w:rsidR="003A27D6" w:rsidRDefault="003A27D6"/>
    <w:p w14:paraId="32C704D2" w14:textId="77777777" w:rsidR="003A27D6" w:rsidRPr="00FE7CE1" w:rsidRDefault="008A6308">
      <w:pPr>
        <w:pStyle w:val="HeadingStrongEmphasis"/>
        <w:rPr>
          <w:b w:val="0"/>
          <w:bCs w:val="0"/>
        </w:rPr>
      </w:pPr>
      <w:r w:rsidRPr="00FE7CE1">
        <w:rPr>
          <w:b w:val="0"/>
          <w:bCs w:val="0"/>
        </w:rPr>
        <w:lastRenderedPageBreak/>
        <w:t>Vaikuttava aine, annospussi 2:</w:t>
      </w:r>
    </w:p>
    <w:p w14:paraId="1810CB73" w14:textId="77777777" w:rsidR="003A27D6" w:rsidRDefault="008A6308">
      <w:r>
        <w:t>Sakkaroosi</w:t>
      </w:r>
    </w:p>
    <w:p w14:paraId="5759C87A" w14:textId="77777777" w:rsidR="003A27D6" w:rsidRDefault="008A6308">
      <w:r>
        <w:t>Hydrolysoitu kaseiini</w:t>
      </w:r>
    </w:p>
    <w:p w14:paraId="2A6CD806" w14:textId="77777777" w:rsidR="003A27D6" w:rsidRDefault="008A6308">
      <w:r>
        <w:t>Askorbiinihappo</w:t>
      </w:r>
    </w:p>
    <w:p w14:paraId="2CA820A5" w14:textId="77777777" w:rsidR="003A27D6" w:rsidRDefault="008A6308">
      <w:r>
        <w:t>Laktoosi</w:t>
      </w:r>
    </w:p>
    <w:p w14:paraId="48F911D6" w14:textId="77777777" w:rsidR="003A27D6" w:rsidRDefault="003A27D6"/>
    <w:p w14:paraId="162E2BEA" w14:textId="77777777" w:rsidR="003A27D6" w:rsidRDefault="008A6308">
      <w:pPr>
        <w:pStyle w:val="Heading2"/>
      </w:pPr>
      <w:r>
        <w:t>6.2</w:t>
      </w:r>
      <w:r>
        <w:tab/>
        <w:t>Yhteensopimattomuudet</w:t>
      </w:r>
    </w:p>
    <w:p w14:paraId="04577C70" w14:textId="77777777" w:rsidR="003A27D6" w:rsidRDefault="003A27D6">
      <w:pPr>
        <w:keepNext/>
      </w:pPr>
    </w:p>
    <w:p w14:paraId="2B4D92A8" w14:textId="77777777" w:rsidR="003A27D6" w:rsidRDefault="008A6308">
      <w:pPr>
        <w:keepNext/>
        <w:keepLines/>
      </w:pPr>
      <w:r>
        <w:t>Koska yhteensopivuustutkimuksia ei ole tehty, tätä rokotetta ei saa sekoittaa muiden lääkevalmisteiden kanssa.</w:t>
      </w:r>
    </w:p>
    <w:p w14:paraId="59FFF2D3" w14:textId="77777777" w:rsidR="003A27D6" w:rsidRDefault="003A27D6"/>
    <w:p w14:paraId="4B13608B" w14:textId="77777777" w:rsidR="003A27D6" w:rsidRDefault="008A6308">
      <w:pPr>
        <w:pStyle w:val="Heading2"/>
      </w:pPr>
      <w:r>
        <w:t>6.3</w:t>
      </w:r>
      <w:r>
        <w:tab/>
        <w:t>Kestoaika</w:t>
      </w:r>
    </w:p>
    <w:p w14:paraId="416B90CF" w14:textId="77777777" w:rsidR="003A27D6" w:rsidRDefault="003A27D6">
      <w:pPr>
        <w:keepNext/>
      </w:pPr>
    </w:p>
    <w:p w14:paraId="569F26A5" w14:textId="77777777" w:rsidR="003A27D6" w:rsidRDefault="008A6308">
      <w:pPr>
        <w:keepNext/>
        <w:keepLines/>
      </w:pPr>
      <w:r>
        <w:t>18 kuukautta.</w:t>
      </w:r>
    </w:p>
    <w:p w14:paraId="329A72CA" w14:textId="77777777" w:rsidR="003A27D6" w:rsidRDefault="003A27D6"/>
    <w:p w14:paraId="54188289" w14:textId="23441AD5" w:rsidR="003A27D6" w:rsidRDefault="008A6308">
      <w:r>
        <w:t>Käyttökuntoon saattamisenjälkeen suspensio on juotava 15</w:t>
      </w:r>
      <w:r w:rsidR="0002317A">
        <w:t> </w:t>
      </w:r>
      <w:r>
        <w:t>minuutin kuluessa.</w:t>
      </w:r>
    </w:p>
    <w:p w14:paraId="4B5493BE" w14:textId="77777777" w:rsidR="003A27D6" w:rsidRDefault="003A27D6"/>
    <w:p w14:paraId="06B4AEED" w14:textId="77777777" w:rsidR="003A27D6" w:rsidRDefault="008A6308">
      <w:pPr>
        <w:pStyle w:val="Heading2"/>
      </w:pPr>
      <w:r>
        <w:t>6.4</w:t>
      </w:r>
      <w:r>
        <w:tab/>
        <w:t>Säilytys</w:t>
      </w:r>
    </w:p>
    <w:p w14:paraId="5CA777D6" w14:textId="77777777" w:rsidR="003A27D6" w:rsidRDefault="003A27D6">
      <w:pPr>
        <w:keepNext/>
      </w:pPr>
    </w:p>
    <w:p w14:paraId="1FAD405C" w14:textId="06C627A3" w:rsidR="003A27D6" w:rsidRDefault="008A6308">
      <w:r>
        <w:t>Säilytä jääkaapissa (2</w:t>
      </w:r>
      <w:r w:rsidR="00B81B4C">
        <w:t> </w:t>
      </w:r>
      <w:r>
        <w:t>°C –</w:t>
      </w:r>
      <w:r w:rsidR="0002317A">
        <w:t> </w:t>
      </w:r>
      <w:r>
        <w:t>8</w:t>
      </w:r>
      <w:r w:rsidR="00B81B4C">
        <w:t> </w:t>
      </w:r>
      <w:r>
        <w:t>°C).</w:t>
      </w:r>
    </w:p>
    <w:p w14:paraId="548AC750" w14:textId="63AD0703" w:rsidR="003A27D6" w:rsidRDefault="008A6308">
      <w:r>
        <w:t>Säilytä alkuperäispakkauksessa.</w:t>
      </w:r>
      <w:r w:rsidR="002506F4">
        <w:t xml:space="preserve"> Herkkä valolle ja kosteudelle.</w:t>
      </w:r>
    </w:p>
    <w:p w14:paraId="6B0D233F" w14:textId="389E4432" w:rsidR="003A27D6" w:rsidRDefault="008A6308">
      <w:r>
        <w:t>Vältä altistusta yli 25</w:t>
      </w:r>
      <w:r w:rsidR="00B81B4C">
        <w:t> </w:t>
      </w:r>
      <w:r>
        <w:t>°C:n lämpötiloille.</w:t>
      </w:r>
      <w:r w:rsidR="002506F4">
        <w:t xml:space="preserve"> Säilyvyystietojen mukaan rokotteen ainesosat pysyvät stabiileina 12 tunnin ajan, kun rokotetta säilytetään 8–25</w:t>
      </w:r>
      <w:r w:rsidR="00B81B4C">
        <w:t> </w:t>
      </w:r>
      <w:r w:rsidR="002506F4">
        <w:t>°C:n lämpötilassa. Tämän ajanjakson lopussa Vaxchora on käytettävä välittömästi tai hävitettävä. Nämä tiedot on tarkoitettu ohjeeksi terveydenhuollon ammattilaisille ainoastaan tilanteissa, joissa lämpötilarajoituksista poiketaan tilapäisesti.</w:t>
      </w:r>
    </w:p>
    <w:p w14:paraId="59EE08BB" w14:textId="49C47DDE" w:rsidR="002506F4" w:rsidRDefault="002506F4">
      <w:r>
        <w:t>Käyttökuntoon saatetun lääkevalmisteen säilytys, ks. kohta 6.3.</w:t>
      </w:r>
    </w:p>
    <w:p w14:paraId="720E2A42" w14:textId="77777777" w:rsidR="003A27D6" w:rsidRDefault="003A27D6"/>
    <w:p w14:paraId="24782847" w14:textId="77777777" w:rsidR="003A27D6" w:rsidRDefault="008A6308">
      <w:pPr>
        <w:pStyle w:val="Heading2"/>
      </w:pPr>
      <w:r>
        <w:t>6.5</w:t>
      </w:r>
      <w:r>
        <w:tab/>
        <w:t>Pakkaustyyppi ja pakkauskoko</w:t>
      </w:r>
    </w:p>
    <w:p w14:paraId="30AE00D6" w14:textId="77777777" w:rsidR="003A27D6" w:rsidRDefault="003A27D6">
      <w:pPr>
        <w:keepNext/>
      </w:pPr>
    </w:p>
    <w:p w14:paraId="1E62F1CD" w14:textId="77777777" w:rsidR="003A27D6" w:rsidRDefault="008A6308">
      <w:r>
        <w:t>Pahvikotelo, jossa yksi vaikuttavan aineen sisältävä annospussi ja yksi puskurin sisältävä annospussi.</w:t>
      </w:r>
    </w:p>
    <w:p w14:paraId="54E31A11" w14:textId="77777777" w:rsidR="003A27D6" w:rsidRDefault="008A6308">
      <w:r>
        <w:t>Vaikuttavan aineen sisältävässä annospussissa on 2 g jauhetta oraalisuspensiota varten.</w:t>
      </w:r>
    </w:p>
    <w:p w14:paraId="276BDACA" w14:textId="77777777" w:rsidR="003A27D6" w:rsidRDefault="008A6308">
      <w:r>
        <w:t>Puskurin sisältävässä annospussissa on 4,5 g porejauhetta.</w:t>
      </w:r>
    </w:p>
    <w:p w14:paraId="6FB53E56" w14:textId="77777777" w:rsidR="003A27D6" w:rsidRDefault="008A6308">
      <w:r>
        <w:t>Vaikuttavan aineen sisältävä annospussi on tehty nelikerroksisesta foliokuoresta, jossa uloin kerros on paperia, keskimmäiset kerrokset LD-polyeteeniä ja alumiinifoliota, ja sisin kerros LD-polyeteeniä.</w:t>
      </w:r>
    </w:p>
    <w:p w14:paraId="172569F9" w14:textId="77777777" w:rsidR="003A27D6" w:rsidRDefault="008A6308">
      <w:r>
        <w:t>Puskurin sisältävä annospussi on tehty kolmikerroksisesta foliokuoresta, jossa uloin kerros on paperia, keskikerros alumiinifoliota ja sisin kerros LD-polyeteeniä.</w:t>
      </w:r>
    </w:p>
    <w:p w14:paraId="115F2B55" w14:textId="77777777" w:rsidR="003A27D6" w:rsidRDefault="003A27D6"/>
    <w:p w14:paraId="0B0E265C" w14:textId="2FCC3696" w:rsidR="003A27D6" w:rsidRDefault="008A6308">
      <w:r>
        <w:t>Pakkauskoko: 1</w:t>
      </w:r>
      <w:r w:rsidR="0002317A">
        <w:t> </w:t>
      </w:r>
      <w:r>
        <w:t>pakkaus, jossa 2</w:t>
      </w:r>
      <w:r w:rsidR="0002317A">
        <w:t> </w:t>
      </w:r>
      <w:r>
        <w:t>annospussia.</w:t>
      </w:r>
      <w:r w:rsidR="002506F4">
        <w:t xml:space="preserve"> Yhteen annokseen tarvitaan 2 annospussia (1 vaikuttavaa ainetta sisältävä annospussi ja 1 puskuria sisältävä annospussi).</w:t>
      </w:r>
    </w:p>
    <w:p w14:paraId="38E26007" w14:textId="77777777" w:rsidR="003A27D6" w:rsidRDefault="003A27D6"/>
    <w:p w14:paraId="5F8AC6C1" w14:textId="77777777" w:rsidR="003A27D6" w:rsidRDefault="008A6308">
      <w:pPr>
        <w:pStyle w:val="Heading2"/>
      </w:pPr>
      <w:r>
        <w:t>6.6</w:t>
      </w:r>
      <w:r>
        <w:tab/>
        <w:t>Erityiset varotoimet hävittämiselle ja muut käsittelyohjeet</w:t>
      </w:r>
    </w:p>
    <w:p w14:paraId="69F7CEA0" w14:textId="77777777" w:rsidR="003A27D6" w:rsidRDefault="003A27D6">
      <w:pPr>
        <w:keepNext/>
      </w:pPr>
    </w:p>
    <w:p w14:paraId="62BEBB45" w14:textId="58D5E7DA" w:rsidR="003A27D6" w:rsidRDefault="008A6308">
      <w:r>
        <w:t>Tämä lääkevalmiste sisältää muuntogeenisiä organismeja. Käyttämätön lääkevalmiste</w:t>
      </w:r>
      <w:r w:rsidR="002506F4">
        <w:t xml:space="preserve"> tai jäte</w:t>
      </w:r>
      <w:r>
        <w:t xml:space="preserve"> on hävitettävä paikallisten bioturvallisuusvaatimusten mukaisesti.</w:t>
      </w:r>
    </w:p>
    <w:p w14:paraId="4A233C87" w14:textId="77777777" w:rsidR="003A27D6" w:rsidRDefault="003A27D6"/>
    <w:p w14:paraId="44D5E78D" w14:textId="4856E598" w:rsidR="003A27D6" w:rsidRDefault="008A6308">
      <w:r>
        <w:t xml:space="preserve">Kun </w:t>
      </w:r>
      <w:r w:rsidR="002506F4">
        <w:t xml:space="preserve">rokote </w:t>
      </w:r>
      <w:r>
        <w:t>valmistellaan annettavaksi, vaikuttavan aineen ja puskurin sisältävät annospussit otetaan jääkaapista 25</w:t>
      </w:r>
      <w:r w:rsidR="00B81B4C">
        <w:t> </w:t>
      </w:r>
      <w:r>
        <w:t>°C:n lämpötilaan aikaisintaan 12 tuntia ennen rokotteen käyttökuntoon saattamista.</w:t>
      </w:r>
    </w:p>
    <w:p w14:paraId="5D20E443" w14:textId="3121545D" w:rsidR="003A27D6" w:rsidRDefault="008A6308">
      <w:r>
        <w:t>On tärkeää, että annospussit sekoitetaan ohjeiden mukaisessa järjestyksessä. Ensin puskurin sisältävän annospussin 1 sisältö (valkoinen tai lähes valkoinen jauhe) sekoitetaan kupissa 100 ml:aan kylmää tai huoneenlämpöistä (≤ 25</w:t>
      </w:r>
      <w:r w:rsidR="00B81B4C">
        <w:t> </w:t>
      </w:r>
      <w:r>
        <w:t xml:space="preserve">°C) hiilihapotonta tai hiilihapollista pullotettua vettä. VAIN 2 – &lt; 6-vuotiaiden lasten kohdalla: puolet (50 ml) puskuriliuoksesta </w:t>
      </w:r>
      <w:r w:rsidR="00AC7269" w:rsidRPr="00AC7269">
        <w:t>hävitetään</w:t>
      </w:r>
      <w:r w:rsidR="00AC7269">
        <w:t xml:space="preserve"> </w:t>
      </w:r>
      <w:r>
        <w:t>ennen siirtymistä seuraavaan vaiheeseen. Tämän jälkeen kuppiin lisätään vaikuttavan aineen sisältävän annospussin</w:t>
      </w:r>
      <w:r w:rsidR="0002317A">
        <w:t> </w:t>
      </w:r>
      <w:r>
        <w:t>2 sisältö (valkoinen tai beige jauhe), ja liuosta sekoitetaan vähintään 30</w:t>
      </w:r>
      <w:r w:rsidR="0002317A">
        <w:t> </w:t>
      </w:r>
      <w:r>
        <w:t xml:space="preserve">sekunnin ajan. Käyttökuntoon saatettu rokote on hieman samea suspensio, joka voi sisältää jonkin verran valkeita hiukkasia. Suspensioon voidaan haluttaessa sekoittaa sakkaroosia (enintään 4 g / teelusikallinen) tai makeutusaine steviaa (enintään 1 g / neljännesteelusikallinen). ÄLÄ lisää muita makeutusaineita, sillä ne saattavat heikentää </w:t>
      </w:r>
      <w:r>
        <w:lastRenderedPageBreak/>
        <w:t>rokotteen tehoa. Annos on otettava 15</w:t>
      </w:r>
      <w:r w:rsidR="0002317A">
        <w:t> </w:t>
      </w:r>
      <w:r>
        <w:t>minuutin kuluessa käyttökuntoon saattamisesta.</w:t>
      </w:r>
      <w:r w:rsidR="002506F4">
        <w:t xml:space="preserve"> Kuppiin voi jäädä hieman lääkevalmistetta. Kuppi tulee pestä kuumalla vedellä ja saippualla.</w:t>
      </w:r>
    </w:p>
    <w:p w14:paraId="51E1C896" w14:textId="77777777" w:rsidR="003A27D6" w:rsidRDefault="003A27D6"/>
    <w:p w14:paraId="5DD9120F" w14:textId="77777777" w:rsidR="003A27D6" w:rsidRDefault="008A6308">
      <w:r>
        <w:t>Huom: jos annospussit sekoitetaan väärässä järjestyksessä, rokote on hävitettävä.</w:t>
      </w:r>
    </w:p>
    <w:p w14:paraId="6B96B50B" w14:textId="77777777" w:rsidR="003A27D6" w:rsidRDefault="003A27D6"/>
    <w:p w14:paraId="0FAC60E8" w14:textId="77777777" w:rsidR="003A27D6" w:rsidRDefault="003A27D6"/>
    <w:p w14:paraId="630E6C23" w14:textId="77777777" w:rsidR="003A27D6" w:rsidRPr="00FE7CE1" w:rsidRDefault="008A6308">
      <w:pPr>
        <w:pStyle w:val="Heading1"/>
        <w:ind w:left="567" w:hanging="567"/>
      </w:pPr>
      <w:r w:rsidRPr="00FE7CE1">
        <w:t>7.</w:t>
      </w:r>
      <w:r w:rsidRPr="00FE7CE1">
        <w:tab/>
        <w:t>MYYNTILUVAN HALTIJA</w:t>
      </w:r>
    </w:p>
    <w:p w14:paraId="3B575BF9" w14:textId="77777777" w:rsidR="003A27D6" w:rsidRPr="00FE7CE1" w:rsidRDefault="003A27D6">
      <w:pPr>
        <w:keepNext/>
      </w:pPr>
    </w:p>
    <w:p w14:paraId="42D09B9A" w14:textId="77777777" w:rsidR="00421E0E" w:rsidRPr="00B81B4C" w:rsidRDefault="00421E0E" w:rsidP="00421E0E">
      <w:r w:rsidRPr="00B81B4C">
        <w:t>Bavarian Nordic A/S</w:t>
      </w:r>
    </w:p>
    <w:p w14:paraId="57EE44E0" w14:textId="631BC735" w:rsidR="00421E0E" w:rsidRPr="00B81B4C" w:rsidRDefault="00421E0E" w:rsidP="00421E0E">
      <w:r w:rsidRPr="00B81B4C">
        <w:t>Philip Heymans Alle 3</w:t>
      </w:r>
    </w:p>
    <w:p w14:paraId="6AD52EB9" w14:textId="3BB615A5" w:rsidR="00421E0E" w:rsidRPr="00B81B4C" w:rsidRDefault="00421E0E" w:rsidP="00421E0E">
      <w:pPr>
        <w:rPr>
          <w:lang w:val="sv-SE"/>
        </w:rPr>
      </w:pPr>
      <w:r w:rsidRPr="00B81B4C">
        <w:rPr>
          <w:lang w:val="sv-SE"/>
        </w:rPr>
        <w:t>DK-2900 Hellerup</w:t>
      </w:r>
    </w:p>
    <w:p w14:paraId="6E98C228" w14:textId="29C0289F" w:rsidR="003A27D6" w:rsidRDefault="00421E0E">
      <w:r w:rsidRPr="00B81B4C">
        <w:rPr>
          <w:lang w:val="sv-SE"/>
        </w:rPr>
        <w:t>Tanska</w:t>
      </w:r>
    </w:p>
    <w:p w14:paraId="755D6433" w14:textId="77777777" w:rsidR="003A27D6" w:rsidRDefault="003A27D6"/>
    <w:p w14:paraId="1AD9F97B" w14:textId="77777777" w:rsidR="003A27D6" w:rsidRDefault="003A27D6"/>
    <w:p w14:paraId="3744AE63" w14:textId="77777777" w:rsidR="003A27D6" w:rsidRDefault="008A6308">
      <w:pPr>
        <w:pStyle w:val="Heading1"/>
        <w:ind w:left="567" w:hanging="567"/>
      </w:pPr>
      <w:r>
        <w:t>8.</w:t>
      </w:r>
      <w:r>
        <w:tab/>
        <w:t>MYYNTILUVAN NUMERO</w:t>
      </w:r>
    </w:p>
    <w:p w14:paraId="60E2E979" w14:textId="77777777" w:rsidR="003A27D6" w:rsidRDefault="003A27D6">
      <w:pPr>
        <w:keepNext/>
      </w:pPr>
    </w:p>
    <w:p w14:paraId="7C23BB2B" w14:textId="77777777" w:rsidR="003A27D6" w:rsidRDefault="008A6308">
      <w:pPr>
        <w:keepNext/>
        <w:keepLines/>
      </w:pPr>
      <w:r>
        <w:t>EU/1/20/1423/001</w:t>
      </w:r>
    </w:p>
    <w:p w14:paraId="01D05643" w14:textId="77777777" w:rsidR="003A27D6" w:rsidRDefault="003A27D6"/>
    <w:p w14:paraId="308A02B6" w14:textId="77777777" w:rsidR="003A27D6" w:rsidRDefault="003A27D6"/>
    <w:p w14:paraId="3996C6B4" w14:textId="77777777" w:rsidR="003A27D6" w:rsidRDefault="008A6308">
      <w:pPr>
        <w:pStyle w:val="Heading1"/>
        <w:ind w:left="567" w:hanging="567"/>
      </w:pPr>
      <w:r>
        <w:t>9.</w:t>
      </w:r>
      <w:r>
        <w:tab/>
        <w:t>MYYNTILUVAN MYÖNTÄMISPÄIVÄMÄÄRÄ/UUDISTAMISPÄIVÄMÄÄRÄ</w:t>
      </w:r>
    </w:p>
    <w:p w14:paraId="6851B5EA" w14:textId="77777777" w:rsidR="003A27D6" w:rsidRDefault="003A27D6">
      <w:pPr>
        <w:keepNext/>
      </w:pPr>
    </w:p>
    <w:p w14:paraId="21BCB9A3" w14:textId="1E8EB13B" w:rsidR="003A27D6" w:rsidRDefault="008A6308">
      <w:r>
        <w:t>Myyntiluvan myöntämisen päivämäärä: 01</w:t>
      </w:r>
      <w:r w:rsidR="0002317A">
        <w:t>.</w:t>
      </w:r>
      <w:r>
        <w:t xml:space="preserve"> huhtikuu</w:t>
      </w:r>
      <w:r w:rsidR="0002317A">
        <w:t>ta</w:t>
      </w:r>
      <w:r>
        <w:t xml:space="preserve"> 2020</w:t>
      </w:r>
    </w:p>
    <w:p w14:paraId="6B19433C" w14:textId="7F21715A" w:rsidR="002506F4" w:rsidRDefault="002506F4">
      <w:r>
        <w:t>Viimeisimmän uudistamisen päivämäärä:</w:t>
      </w:r>
      <w:r w:rsidR="00E36A43">
        <w:t>13.</w:t>
      </w:r>
      <w:r w:rsidR="00E36A43" w:rsidRPr="00E36A43">
        <w:t xml:space="preserve"> </w:t>
      </w:r>
      <w:r w:rsidR="00E36A43">
        <w:t>t</w:t>
      </w:r>
      <w:r w:rsidR="00E36A43" w:rsidRPr="00E36A43">
        <w:t>ammikuu</w:t>
      </w:r>
      <w:r w:rsidR="00E36A43">
        <w:t xml:space="preserve"> 2025</w:t>
      </w:r>
    </w:p>
    <w:p w14:paraId="602A5DB5" w14:textId="77777777" w:rsidR="003A27D6" w:rsidRDefault="003A27D6"/>
    <w:p w14:paraId="5459CB22" w14:textId="77777777" w:rsidR="003A27D6" w:rsidRDefault="003A27D6"/>
    <w:p w14:paraId="13D2C427" w14:textId="77777777" w:rsidR="003A27D6" w:rsidRDefault="008A6308">
      <w:pPr>
        <w:pStyle w:val="Heading1"/>
      </w:pPr>
      <w:r>
        <w:t>10.</w:t>
      </w:r>
      <w:r>
        <w:tab/>
        <w:t>TEKSTIN MUUTTAMISPÄIVÄMÄÄRÄ</w:t>
      </w:r>
    </w:p>
    <w:p w14:paraId="17BBB5C2" w14:textId="77777777" w:rsidR="003A27D6" w:rsidRDefault="003A27D6">
      <w:pPr>
        <w:keepNext/>
      </w:pPr>
    </w:p>
    <w:p w14:paraId="07ADD83E" w14:textId="30A25BA3" w:rsidR="001B0D2A" w:rsidRDefault="001B0D2A">
      <w:pPr>
        <w:keepNext/>
      </w:pPr>
      <w:r>
        <w:t>13.</w:t>
      </w:r>
      <w:r w:rsidRPr="00E36A43">
        <w:t xml:space="preserve"> </w:t>
      </w:r>
      <w:r>
        <w:t>t</w:t>
      </w:r>
      <w:r w:rsidRPr="00E36A43">
        <w:t>ammikuu</w:t>
      </w:r>
      <w:r>
        <w:t xml:space="preserve"> 2025</w:t>
      </w:r>
    </w:p>
    <w:p w14:paraId="3C30A122" w14:textId="77777777" w:rsidR="001B0D2A" w:rsidRDefault="001B0D2A">
      <w:pPr>
        <w:keepNext/>
      </w:pPr>
    </w:p>
    <w:p w14:paraId="7836870E" w14:textId="4797284A" w:rsidR="003A27D6" w:rsidRDefault="008A6308">
      <w:r>
        <w:t xml:space="preserve">Lisätietoa tästä lääkevalmisteesta on Euroopan lääkeviraston verkkosivulla </w:t>
      </w:r>
      <w:hyperlink r:id="rId12" w:history="1">
        <w:r w:rsidR="002506F4" w:rsidRPr="008D24A1">
          <w:rPr>
            <w:rStyle w:val="Hyperlink"/>
          </w:rPr>
          <w:t>https://www.ema.europa.eu</w:t>
        </w:r>
      </w:hyperlink>
      <w:r>
        <w:t>.</w:t>
      </w:r>
      <w:r>
        <w:br w:type="page"/>
      </w:r>
    </w:p>
    <w:p w14:paraId="5EE81AB2" w14:textId="77777777" w:rsidR="003A27D6" w:rsidRDefault="003A27D6"/>
    <w:p w14:paraId="09550D30" w14:textId="77777777" w:rsidR="003A27D6" w:rsidRDefault="003A27D6"/>
    <w:p w14:paraId="1EE79AD8" w14:textId="77777777" w:rsidR="003A27D6" w:rsidRDefault="003A27D6"/>
    <w:p w14:paraId="362C10FC" w14:textId="77777777" w:rsidR="003A27D6" w:rsidRDefault="003A27D6"/>
    <w:p w14:paraId="53945615" w14:textId="77777777" w:rsidR="003A27D6" w:rsidRDefault="003A27D6"/>
    <w:p w14:paraId="7CB748DB" w14:textId="77777777" w:rsidR="003A27D6" w:rsidRDefault="003A27D6"/>
    <w:p w14:paraId="1E72E29C" w14:textId="77777777" w:rsidR="003A27D6" w:rsidRDefault="003A27D6"/>
    <w:p w14:paraId="386C47A0" w14:textId="77777777" w:rsidR="003A27D6" w:rsidRDefault="003A27D6"/>
    <w:p w14:paraId="2D048D82" w14:textId="77777777" w:rsidR="003A27D6" w:rsidRDefault="003A27D6"/>
    <w:p w14:paraId="22B5798A" w14:textId="77777777" w:rsidR="003A27D6" w:rsidRDefault="003A27D6"/>
    <w:p w14:paraId="27045749" w14:textId="77777777" w:rsidR="003A27D6" w:rsidRDefault="003A27D6"/>
    <w:p w14:paraId="6C954F2D" w14:textId="77777777" w:rsidR="003A27D6" w:rsidRDefault="003A27D6"/>
    <w:p w14:paraId="370B7260" w14:textId="77777777" w:rsidR="003A27D6" w:rsidRDefault="003A27D6"/>
    <w:p w14:paraId="4D2F9E9F" w14:textId="77777777" w:rsidR="003A27D6" w:rsidRDefault="003A27D6"/>
    <w:p w14:paraId="36E51A1F" w14:textId="77777777" w:rsidR="003A27D6" w:rsidRDefault="003A27D6"/>
    <w:p w14:paraId="0E27E15F" w14:textId="77777777" w:rsidR="003A27D6" w:rsidRDefault="003A27D6"/>
    <w:p w14:paraId="2AFD9F47" w14:textId="77777777" w:rsidR="003A27D6" w:rsidRDefault="003A27D6"/>
    <w:p w14:paraId="5ED42F3F" w14:textId="77777777" w:rsidR="003A27D6" w:rsidRDefault="003A27D6"/>
    <w:p w14:paraId="0D257688" w14:textId="77777777" w:rsidR="003A27D6" w:rsidRDefault="003A27D6"/>
    <w:p w14:paraId="7140EF6F" w14:textId="77777777" w:rsidR="003A27D6" w:rsidRDefault="003A27D6"/>
    <w:p w14:paraId="632E5FB8" w14:textId="77777777" w:rsidR="003A27D6" w:rsidRDefault="003A27D6"/>
    <w:p w14:paraId="051B135A" w14:textId="77777777" w:rsidR="003A27D6" w:rsidRDefault="003A27D6"/>
    <w:p w14:paraId="7AC220AF" w14:textId="77777777" w:rsidR="003A27D6" w:rsidRDefault="003A27D6"/>
    <w:p w14:paraId="046CD43C" w14:textId="77777777" w:rsidR="003A27D6" w:rsidRDefault="008A6308">
      <w:pPr>
        <w:pStyle w:val="Title"/>
      </w:pPr>
      <w:r>
        <w:t>LIITE II</w:t>
      </w:r>
    </w:p>
    <w:p w14:paraId="5E16C29C" w14:textId="77777777" w:rsidR="003A27D6" w:rsidRDefault="003A27D6">
      <w:pPr>
        <w:ind w:right="1167"/>
      </w:pPr>
    </w:p>
    <w:p w14:paraId="2A34B915" w14:textId="77777777" w:rsidR="003A27D6" w:rsidRDefault="008A6308">
      <w:pPr>
        <w:pStyle w:val="Heading1Indent"/>
        <w:ind w:right="1167"/>
      </w:pPr>
      <w:r>
        <w:t>A.</w:t>
      </w:r>
      <w:r>
        <w:tab/>
        <w:t>BIOLOGISEN (BIOLOGISTEN) VAIKUTTAVAN (VAIKUTTAVIEN) AINEEN (AINEIDEN) VALMISTAJA (VALMISTAJAT) JA ERÄN VAPAUTTAMISESTA VASTAAVA(T) VALMISTAJA(T)</w:t>
      </w:r>
    </w:p>
    <w:p w14:paraId="43AD2F5F" w14:textId="77777777" w:rsidR="003A27D6" w:rsidRDefault="003A27D6">
      <w:pPr>
        <w:ind w:right="1167"/>
      </w:pPr>
    </w:p>
    <w:p w14:paraId="65FF3A0F" w14:textId="77777777" w:rsidR="003A27D6" w:rsidRDefault="008A6308">
      <w:pPr>
        <w:pStyle w:val="Heading1Indent"/>
        <w:ind w:right="1167"/>
      </w:pPr>
      <w:r>
        <w:t>B.</w:t>
      </w:r>
      <w:r>
        <w:tab/>
        <w:t>TOIMITTAMISEEN JA KÄYTTÖÖN LIITTYVÄT EHDOT TAI RAJOITUKSET</w:t>
      </w:r>
    </w:p>
    <w:p w14:paraId="0B633688" w14:textId="77777777" w:rsidR="003A27D6" w:rsidRDefault="003A27D6">
      <w:pPr>
        <w:ind w:right="1167"/>
      </w:pPr>
    </w:p>
    <w:p w14:paraId="782FB427" w14:textId="77777777" w:rsidR="003A27D6" w:rsidRDefault="008A6308">
      <w:pPr>
        <w:pStyle w:val="Heading1Indent"/>
        <w:ind w:right="1167"/>
      </w:pPr>
      <w:r>
        <w:t>C.</w:t>
      </w:r>
      <w:r>
        <w:tab/>
        <w:t>MYYNTILUVAN MUUT EHDOT JA EDELLYTYKSET</w:t>
      </w:r>
    </w:p>
    <w:p w14:paraId="591F3793" w14:textId="77777777" w:rsidR="003A27D6" w:rsidRDefault="003A27D6">
      <w:pPr>
        <w:ind w:right="1167"/>
      </w:pPr>
    </w:p>
    <w:p w14:paraId="1DA3E28A" w14:textId="77777777" w:rsidR="003A27D6" w:rsidRDefault="008A6308">
      <w:pPr>
        <w:pStyle w:val="Heading1Indent"/>
        <w:ind w:right="1167"/>
      </w:pPr>
      <w:r>
        <w:t>D.</w:t>
      </w:r>
      <w:r>
        <w:tab/>
        <w:t>EHDOT TAI RAJOITUKSET, JOTKA KOSKEVAT LÄÄKEVALMISTEEN TURVALLISTA JA TEHOKASTA KÄYTTÖÄ</w:t>
      </w:r>
    </w:p>
    <w:p w14:paraId="33367D55" w14:textId="77777777" w:rsidR="003A27D6" w:rsidRDefault="008A6308">
      <w:r>
        <w:br w:type="page"/>
      </w:r>
    </w:p>
    <w:p w14:paraId="4C72FE5E" w14:textId="77777777" w:rsidR="003A27D6" w:rsidRDefault="008A6308">
      <w:pPr>
        <w:pStyle w:val="TitleB"/>
      </w:pPr>
      <w:r>
        <w:lastRenderedPageBreak/>
        <w:t>A.</w:t>
      </w:r>
      <w:r>
        <w:tab/>
        <w:t>BIOLOGISEN (BIOLOGISTEN) VAIKUTTAVAN (VAIKUTTAVIEN) AINEEN (AINEIDEN) VALMISTAJA (VALMISTAJAT) JA ERÄN VAPAUTTAMISESTA VASTAAVA(T) VALMISTAJA(T)</w:t>
      </w:r>
    </w:p>
    <w:p w14:paraId="729549D7" w14:textId="77777777" w:rsidR="003A27D6" w:rsidRDefault="003A27D6"/>
    <w:p w14:paraId="643EBA4F" w14:textId="77777777" w:rsidR="003A27D6" w:rsidRDefault="008A6308">
      <w:pPr>
        <w:pStyle w:val="HeadingUnderlined"/>
      </w:pPr>
      <w:r>
        <w:t>Biologisen (biologisten) vaikuttavan aineen (vaikuttavien aineiden) valmistajan (valmistajien) nimi (nimet) ja osoite (osoitteet)</w:t>
      </w:r>
    </w:p>
    <w:p w14:paraId="557E569E" w14:textId="77777777" w:rsidR="003A27D6" w:rsidRDefault="003A27D6"/>
    <w:p w14:paraId="6ACDD725" w14:textId="283F4CBC" w:rsidR="003A27D6" w:rsidRPr="00B81B4C" w:rsidRDefault="009E7ABA">
      <w:r w:rsidRPr="00B81B4C">
        <w:t>Bavarian Nordic</w:t>
      </w:r>
      <w:r w:rsidR="008A6308" w:rsidRPr="00B81B4C">
        <w:t xml:space="preserve"> Berna GmbH</w:t>
      </w:r>
    </w:p>
    <w:p w14:paraId="75C387EC" w14:textId="77777777" w:rsidR="003A27D6" w:rsidRPr="00B81B4C" w:rsidRDefault="008A6308">
      <w:r w:rsidRPr="00B81B4C">
        <w:t>Oberriedstrasse 68</w:t>
      </w:r>
    </w:p>
    <w:p w14:paraId="69424EB6" w14:textId="77777777" w:rsidR="003A27D6" w:rsidRDefault="008A6308">
      <w:r>
        <w:t>CH-3174 Thörishaus</w:t>
      </w:r>
    </w:p>
    <w:p w14:paraId="2FD27E33" w14:textId="77777777" w:rsidR="003A27D6" w:rsidRDefault="008A6308">
      <w:r>
        <w:t>Sveitsi</w:t>
      </w:r>
    </w:p>
    <w:p w14:paraId="39403B73" w14:textId="77777777" w:rsidR="003A27D6" w:rsidRDefault="003A27D6"/>
    <w:p w14:paraId="70358B35" w14:textId="77777777" w:rsidR="003A27D6" w:rsidRDefault="008A6308">
      <w:pPr>
        <w:pStyle w:val="HeadingUnderlined"/>
      </w:pPr>
      <w:r>
        <w:t>Erän vapauttamisesta vastaavan (vastaavien) valmistajan (valmistajien) nimi (nimet) ja osoite (osoitteet)</w:t>
      </w:r>
    </w:p>
    <w:p w14:paraId="512A67B0" w14:textId="77777777" w:rsidR="003A27D6" w:rsidRDefault="003A27D6"/>
    <w:p w14:paraId="62D8B974" w14:textId="77777777" w:rsidR="003A27D6" w:rsidRDefault="008A6308">
      <w:pPr>
        <w:rPr>
          <w:lang w:val="fr-CH"/>
        </w:rPr>
      </w:pPr>
      <w:r>
        <w:rPr>
          <w:lang w:val="fr-CH"/>
        </w:rPr>
        <w:t>IL-CSM GmbH</w:t>
      </w:r>
    </w:p>
    <w:p w14:paraId="2F4F9446" w14:textId="77777777" w:rsidR="003A27D6" w:rsidRDefault="008A6308">
      <w:pPr>
        <w:rPr>
          <w:lang w:val="fr-CH"/>
        </w:rPr>
      </w:pPr>
      <w:r>
        <w:rPr>
          <w:lang w:val="fr-CH"/>
        </w:rPr>
        <w:t>Marie-Curie-Strasse 8</w:t>
      </w:r>
    </w:p>
    <w:p w14:paraId="1AF801F2" w14:textId="77777777" w:rsidR="003A27D6" w:rsidRPr="00FC22CA" w:rsidRDefault="008A6308">
      <w:r w:rsidRPr="00FC22CA">
        <w:t>D</w:t>
      </w:r>
      <w:r w:rsidRPr="00FC22CA">
        <w:noBreakHyphen/>
        <w:t>79539 Lörrach</w:t>
      </w:r>
    </w:p>
    <w:p w14:paraId="376F6374" w14:textId="77777777" w:rsidR="003A27D6" w:rsidRPr="00FC22CA" w:rsidRDefault="008A6308">
      <w:r w:rsidRPr="00FC22CA">
        <w:t>Saksa</w:t>
      </w:r>
    </w:p>
    <w:p w14:paraId="3A9EFA4F" w14:textId="77777777" w:rsidR="003A27D6" w:rsidRDefault="003A27D6"/>
    <w:p w14:paraId="7FF58981" w14:textId="77777777" w:rsidR="003A27D6" w:rsidRDefault="003A27D6"/>
    <w:p w14:paraId="09A90DC8" w14:textId="77777777" w:rsidR="003A27D6" w:rsidRDefault="008A6308">
      <w:pPr>
        <w:pStyle w:val="TitleB"/>
      </w:pPr>
      <w:r>
        <w:t>B.</w:t>
      </w:r>
      <w:r>
        <w:tab/>
        <w:t>TOIMITTAMISEEN JA KÄYTTÖÖN LIITTYVÄT EHDOT TAI RAJOITUKSET</w:t>
      </w:r>
    </w:p>
    <w:p w14:paraId="35826522" w14:textId="77777777" w:rsidR="003A27D6" w:rsidRDefault="003A27D6"/>
    <w:p w14:paraId="666E9B05" w14:textId="77777777" w:rsidR="003A27D6" w:rsidRDefault="008A6308">
      <w:r>
        <w:t>Reseptilääke.</w:t>
      </w:r>
    </w:p>
    <w:p w14:paraId="3C3E0E92" w14:textId="77777777" w:rsidR="003A27D6" w:rsidRDefault="003A27D6"/>
    <w:p w14:paraId="33C1C544" w14:textId="77777777" w:rsidR="003A27D6" w:rsidRDefault="008A6308">
      <w:pPr>
        <w:pStyle w:val="Bullet"/>
        <w:numPr>
          <w:ilvl w:val="0"/>
          <w:numId w:val="1"/>
        </w:numPr>
        <w:rPr>
          <w:rStyle w:val="Strong"/>
        </w:rPr>
      </w:pPr>
      <w:r>
        <w:rPr>
          <w:rStyle w:val="Strong"/>
        </w:rPr>
        <w:t>Erän virallinen vapauttaminen</w:t>
      </w:r>
    </w:p>
    <w:p w14:paraId="2BB98D75" w14:textId="77777777" w:rsidR="003A27D6" w:rsidRDefault="003A27D6"/>
    <w:p w14:paraId="08748D7C" w14:textId="66E6575C" w:rsidR="003A27D6" w:rsidRDefault="008A6308">
      <w:r>
        <w:t>Direktiivin 2001/83/EY 114</w:t>
      </w:r>
      <w:r w:rsidR="001B613F">
        <w:t> </w:t>
      </w:r>
      <w:r>
        <w:t>artiklan mukaisesti erän virallinen vapauttaminen on suoritettava valtion laboratoriossa tai tähän tarkoitukseen osoitetussa laboratoriossa.</w:t>
      </w:r>
    </w:p>
    <w:p w14:paraId="7A648890" w14:textId="77777777" w:rsidR="003A27D6" w:rsidRDefault="003A27D6"/>
    <w:p w14:paraId="7DD7F731" w14:textId="77777777" w:rsidR="003A27D6" w:rsidRDefault="003A27D6"/>
    <w:p w14:paraId="61330ECE" w14:textId="77777777" w:rsidR="003A27D6" w:rsidRDefault="008A6308">
      <w:pPr>
        <w:pStyle w:val="TitleB"/>
      </w:pPr>
      <w:r>
        <w:t>C.</w:t>
      </w:r>
      <w:r>
        <w:tab/>
        <w:t>MYYNTILUVAN MUUT EHDOT JA EDELLYTYKSET</w:t>
      </w:r>
    </w:p>
    <w:p w14:paraId="7ECBE659" w14:textId="77777777" w:rsidR="003A27D6" w:rsidRDefault="003A27D6"/>
    <w:p w14:paraId="6F50EBA6" w14:textId="77777777" w:rsidR="003A27D6" w:rsidRDefault="008A6308">
      <w:pPr>
        <w:pStyle w:val="Bullet"/>
        <w:numPr>
          <w:ilvl w:val="0"/>
          <w:numId w:val="1"/>
        </w:numPr>
        <w:rPr>
          <w:rStyle w:val="Strong"/>
        </w:rPr>
      </w:pPr>
      <w:r>
        <w:rPr>
          <w:rStyle w:val="Strong"/>
        </w:rPr>
        <w:t>Määräaikaiset turvallisuuskatsaukset</w:t>
      </w:r>
    </w:p>
    <w:p w14:paraId="0E6D414F" w14:textId="77777777" w:rsidR="003A27D6" w:rsidRDefault="003A27D6"/>
    <w:p w14:paraId="106F2CDF" w14:textId="5DFC5982" w:rsidR="003A27D6" w:rsidRDefault="008A6308">
      <w:r>
        <w:t xml:space="preserve">Tämän lääkevalmisteen osalta velvoitteet määräaikaisten turvallisuuskatsausten toimittamisesta on määritelty Euroopan unionin viitepäivämäärät (EURD) ja toimittamisvaatimukset sisältävässä luettelossa, josta on säädetty </w:t>
      </w:r>
      <w:r w:rsidR="000254CE">
        <w:t>D</w:t>
      </w:r>
      <w:r>
        <w:t>irektiivin 2001/83/EY</w:t>
      </w:r>
      <w:r w:rsidR="001B613F">
        <w:t> </w:t>
      </w:r>
      <w:r>
        <w:t>107</w:t>
      </w:r>
      <w:r w:rsidR="001B613F">
        <w:t> </w:t>
      </w:r>
      <w:r>
        <w:t>c artiklan 7</w:t>
      </w:r>
      <w:r w:rsidR="001B613F">
        <w:t> </w:t>
      </w:r>
      <w:r>
        <w:t>kohdassa, ja kaikissa luettelon myöhemmissä päivityksissä, jotka on julkaistu Euroopan lääkeviraston verkkosivuilla.</w:t>
      </w:r>
    </w:p>
    <w:p w14:paraId="14193132" w14:textId="77777777" w:rsidR="003A27D6" w:rsidRDefault="003A27D6"/>
    <w:p w14:paraId="5FB2F6E3" w14:textId="77777777" w:rsidR="003A27D6" w:rsidRDefault="003A27D6"/>
    <w:p w14:paraId="6FB6557A" w14:textId="77777777" w:rsidR="003A27D6" w:rsidRDefault="003A27D6"/>
    <w:p w14:paraId="40FA228E" w14:textId="77777777" w:rsidR="003A27D6" w:rsidRDefault="008A6308">
      <w:pPr>
        <w:pStyle w:val="TitleB"/>
      </w:pPr>
      <w:r>
        <w:t>D.</w:t>
      </w:r>
      <w:r>
        <w:tab/>
        <w:t>EHDOT TAI RAJOITUKSET, JOTKA KOSKEVAT LÄÄKEVALMISTEEN TURVALLISTA JA TEHOKASTA KÄYTTÖÄ</w:t>
      </w:r>
    </w:p>
    <w:p w14:paraId="570C7787" w14:textId="77777777" w:rsidR="003A27D6" w:rsidRDefault="003A27D6">
      <w:pPr>
        <w:keepNext/>
      </w:pPr>
    </w:p>
    <w:p w14:paraId="14525CFF" w14:textId="77777777" w:rsidR="003A27D6" w:rsidRDefault="008A6308">
      <w:pPr>
        <w:pStyle w:val="Bullet"/>
        <w:keepNext/>
        <w:numPr>
          <w:ilvl w:val="0"/>
          <w:numId w:val="1"/>
        </w:numPr>
        <w:rPr>
          <w:rStyle w:val="Strong"/>
        </w:rPr>
      </w:pPr>
      <w:r>
        <w:rPr>
          <w:rStyle w:val="Strong"/>
        </w:rPr>
        <w:t>Riskienhallintasuunnitelma (RMP)</w:t>
      </w:r>
    </w:p>
    <w:p w14:paraId="36C66C24" w14:textId="77777777" w:rsidR="003A27D6" w:rsidRDefault="003A27D6"/>
    <w:p w14:paraId="752F822F" w14:textId="42659E4C" w:rsidR="003A27D6" w:rsidRDefault="008A6308">
      <w:r>
        <w:t>Myyntiluvan haltijan on suoritettava vaaditut lääketurvatoimet ja interventiot myyntiluvan moduulissa</w:t>
      </w:r>
      <w:r w:rsidR="001B613F">
        <w:t> </w:t>
      </w:r>
      <w:r>
        <w:t>1.8.2 esitetyn sovitun riskienhallintasuunnitelman sekä mahdollisten sovittujen riskienhallintasuunnitelman myöhempien päivitysten mukaisesti.</w:t>
      </w:r>
    </w:p>
    <w:p w14:paraId="3AA22E80" w14:textId="77777777" w:rsidR="003A27D6" w:rsidRDefault="003A27D6"/>
    <w:p w14:paraId="7ADEADDA" w14:textId="77777777" w:rsidR="003A27D6" w:rsidRDefault="008A6308">
      <w:r>
        <w:t>Päivitetty RMP tulee toimittaa</w:t>
      </w:r>
    </w:p>
    <w:p w14:paraId="4BC07DBB" w14:textId="77777777" w:rsidR="003A27D6" w:rsidRDefault="008A6308">
      <w:pPr>
        <w:pStyle w:val="Bullet"/>
        <w:numPr>
          <w:ilvl w:val="0"/>
          <w:numId w:val="1"/>
        </w:numPr>
        <w:ind w:left="1134" w:hanging="567"/>
      </w:pPr>
      <w:r>
        <w:t>Euroopan lääkeviraston pyynnöstä</w:t>
      </w:r>
    </w:p>
    <w:p w14:paraId="32A43A63" w14:textId="77777777" w:rsidR="003A27D6" w:rsidRDefault="008A6308">
      <w:pPr>
        <w:pStyle w:val="Bullet"/>
        <w:numPr>
          <w:ilvl w:val="0"/>
          <w:numId w:val="1"/>
        </w:numPr>
        <w:ind w:left="1134" w:hanging="567"/>
      </w:pPr>
      <w:r>
        <w:t>kun riskienhallintajärjestelmää muutetaan, varsinkin kun saadaan uutta tietoa, joka saattaa johtaa hyöty-riskiprofiilin merkittävään muutokseen, tai kun on saavutettu tärkeä tavoite (lääketurvatoiminnassa tai riskien minimoinnissa).</w:t>
      </w:r>
    </w:p>
    <w:p w14:paraId="6160BE6E" w14:textId="77777777" w:rsidR="003A27D6" w:rsidRDefault="003A27D6"/>
    <w:p w14:paraId="57767354" w14:textId="77777777" w:rsidR="003A27D6" w:rsidRDefault="008A6308">
      <w:pPr>
        <w:pStyle w:val="Bullet"/>
        <w:numPr>
          <w:ilvl w:val="0"/>
          <w:numId w:val="1"/>
        </w:numPr>
        <w:rPr>
          <w:rStyle w:val="Strong"/>
        </w:rPr>
      </w:pPr>
      <w:r>
        <w:rPr>
          <w:rStyle w:val="Strong"/>
        </w:rPr>
        <w:lastRenderedPageBreak/>
        <w:t>Lisätoimenpiteet riskien minimoimiseksi</w:t>
      </w:r>
    </w:p>
    <w:p w14:paraId="76333088" w14:textId="77777777" w:rsidR="003A27D6" w:rsidRDefault="003A27D6"/>
    <w:p w14:paraId="24D9DB80" w14:textId="77777777" w:rsidR="003A27D6" w:rsidRDefault="008A6308">
      <w:r>
        <w:t>Ennen Vaxchoran lanseerausta kussakin jäsenvaltiossa myyntiluvan haltijan on sovittava kansallisen toimivaltaisen viranomaisen kanssa koulutusohjelman sisällöstä ja muodosta, mukaan lukien tiedotusvälineet, jakelukeinot ja muut ohjelmaan liittyvät seikat.</w:t>
      </w:r>
    </w:p>
    <w:p w14:paraId="604FC5CB" w14:textId="77777777" w:rsidR="003A27D6" w:rsidRDefault="008A6308">
      <w:r>
        <w:t>Koulutusohjelman tavoitteena on valmisteen käyttökuntoon saattamiseen ja käyttöön liittyvien lääkitysvirheiden minimointi.</w:t>
      </w:r>
    </w:p>
    <w:p w14:paraId="69398FF7" w14:textId="13AE985E" w:rsidR="003A27D6" w:rsidRDefault="008A6308">
      <w:r>
        <w:t xml:space="preserve">Myyntiluvan haltijan on varmistettava, että kaikissa jäsenvaltioissa, joissa </w:t>
      </w:r>
      <w:r w:rsidR="007F3F03">
        <w:t xml:space="preserve">rokote </w:t>
      </w:r>
      <w:r>
        <w:t xml:space="preserve">on saatavilla, kaikille </w:t>
      </w:r>
      <w:r w:rsidR="007F3F03">
        <w:t xml:space="preserve">tätä rokotetta </w:t>
      </w:r>
      <w:r>
        <w:t>mahdollisesti määrääville terveydenhuollon ammattilaisille ja sitä käyttäville potilaille/hoitajille annetaan seuraava koulutuspaketti:</w:t>
      </w:r>
    </w:p>
    <w:p w14:paraId="6054E972" w14:textId="77777777" w:rsidR="003A27D6" w:rsidRDefault="008A6308">
      <w:pPr>
        <w:pStyle w:val="Bullet"/>
        <w:numPr>
          <w:ilvl w:val="0"/>
          <w:numId w:val="1"/>
        </w:numPr>
        <w:ind w:left="1134" w:hanging="567"/>
      </w:pPr>
      <w:r>
        <w:t>terveydenhuollon ammattilaisen koulutusmateriaalit</w:t>
      </w:r>
    </w:p>
    <w:p w14:paraId="348C97C7" w14:textId="77777777" w:rsidR="003A27D6" w:rsidRDefault="008A6308">
      <w:pPr>
        <w:pStyle w:val="Bullet"/>
        <w:numPr>
          <w:ilvl w:val="0"/>
          <w:numId w:val="1"/>
        </w:numPr>
        <w:ind w:left="1134" w:hanging="567"/>
      </w:pPr>
      <w:r>
        <w:t>potilaan tietopaketti.</w:t>
      </w:r>
    </w:p>
    <w:p w14:paraId="10A76D36" w14:textId="77777777" w:rsidR="003A27D6" w:rsidRDefault="003A27D6"/>
    <w:p w14:paraId="021561C6" w14:textId="77777777" w:rsidR="003A27D6" w:rsidRDefault="008A6308">
      <w:pPr>
        <w:pStyle w:val="HeadingStrong"/>
      </w:pPr>
      <w:r>
        <w:t>Terveydenhuollon ammattilaisen koulutusmateriaalit:</w:t>
      </w:r>
    </w:p>
    <w:p w14:paraId="0954A267" w14:textId="77777777" w:rsidR="003A27D6" w:rsidRDefault="008A6308">
      <w:pPr>
        <w:pStyle w:val="Bullet"/>
        <w:numPr>
          <w:ilvl w:val="0"/>
          <w:numId w:val="1"/>
        </w:numPr>
        <w:ind w:left="1080" w:hanging="513"/>
      </w:pPr>
      <w:r>
        <w:t>valmisteyhteenveto</w:t>
      </w:r>
    </w:p>
    <w:p w14:paraId="0EE7091D" w14:textId="77777777" w:rsidR="003A27D6" w:rsidRDefault="008A6308">
      <w:pPr>
        <w:pStyle w:val="Bullet"/>
        <w:numPr>
          <w:ilvl w:val="0"/>
          <w:numId w:val="1"/>
        </w:numPr>
        <w:ind w:left="1080" w:hanging="513"/>
      </w:pPr>
      <w:r>
        <w:t>terveydenhuollon ammattilaisen opas</w:t>
      </w:r>
    </w:p>
    <w:p w14:paraId="505550C7" w14:textId="77777777" w:rsidR="003A27D6" w:rsidRDefault="008A6308">
      <w:pPr>
        <w:pStyle w:val="Bullet"/>
        <w:numPr>
          <w:ilvl w:val="0"/>
          <w:numId w:val="1"/>
        </w:numPr>
        <w:ind w:left="1080" w:hanging="513"/>
      </w:pPr>
      <w:r>
        <w:t>potilasopas.</w:t>
      </w:r>
    </w:p>
    <w:p w14:paraId="3470FE2E" w14:textId="77777777" w:rsidR="007F3F03" w:rsidRDefault="007F3F03" w:rsidP="007F3F03">
      <w:pPr>
        <w:pStyle w:val="Bullet"/>
        <w:rPr>
          <w:rStyle w:val="Strong"/>
        </w:rPr>
      </w:pPr>
    </w:p>
    <w:p w14:paraId="7408B62C" w14:textId="31B2D3B8" w:rsidR="003A27D6" w:rsidRDefault="008A6308" w:rsidP="00FE7CE1">
      <w:pPr>
        <w:pStyle w:val="Bullet"/>
        <w:rPr>
          <w:rStyle w:val="Strong"/>
        </w:rPr>
      </w:pPr>
      <w:r>
        <w:rPr>
          <w:rStyle w:val="Strong"/>
        </w:rPr>
        <w:t>Terveydenhuollon ammattilaisen oppaan avainviestit:</w:t>
      </w:r>
    </w:p>
    <w:p w14:paraId="0D41B045" w14:textId="2C181602" w:rsidR="003A27D6" w:rsidRDefault="007F3F03">
      <w:pPr>
        <w:pStyle w:val="Bullet2"/>
        <w:numPr>
          <w:ilvl w:val="0"/>
          <w:numId w:val="3"/>
        </w:numPr>
        <w:ind w:left="1440" w:hanging="360"/>
      </w:pPr>
      <w:r>
        <w:t xml:space="preserve">Rokotteen </w:t>
      </w:r>
      <w:r w:rsidR="008A6308">
        <w:t>käyttökuntoon saattamiseen ja käyttöön liittyy merkittävä lääkitysvirheiden mahdollinen riski.</w:t>
      </w:r>
    </w:p>
    <w:p w14:paraId="2C140B54" w14:textId="77777777" w:rsidR="003A27D6" w:rsidRDefault="008A6308">
      <w:pPr>
        <w:pStyle w:val="Bullet2"/>
        <w:numPr>
          <w:ilvl w:val="0"/>
          <w:numId w:val="3"/>
        </w:numPr>
        <w:ind w:left="1440" w:hanging="360"/>
      </w:pPr>
      <w:r>
        <w:t>Lääkitysvirheiden mahdollinen riski on suurentunut, kun rokote valmistetaan ja annetaan 2 – &lt; 6-vuotiaille lapsille.</w:t>
      </w:r>
    </w:p>
    <w:p w14:paraId="18035B34" w14:textId="77777777" w:rsidR="003A27D6" w:rsidRDefault="008A6308">
      <w:pPr>
        <w:pStyle w:val="Bullet2"/>
        <w:numPr>
          <w:ilvl w:val="0"/>
          <w:numId w:val="3"/>
        </w:numPr>
        <w:ind w:left="1440" w:hanging="360"/>
      </w:pPr>
      <w:r>
        <w:t>Potilaille/hoitajille on kerrottava käyttökuntoon saattamiseen liittyvistä ohjeista, ja niitä on noudatettava.</w:t>
      </w:r>
    </w:p>
    <w:p w14:paraId="53CE8A85" w14:textId="3311059F" w:rsidR="003A27D6" w:rsidRDefault="008A6308">
      <w:pPr>
        <w:pStyle w:val="Bullet2"/>
        <w:numPr>
          <w:ilvl w:val="0"/>
          <w:numId w:val="3"/>
        </w:numPr>
        <w:ind w:left="1440" w:hanging="360"/>
      </w:pPr>
      <w:r>
        <w:t xml:space="preserve">Terveydenhuollon ammattilaisten on ohjeistettava potilaita ja heitä hoitavia henkilöitä </w:t>
      </w:r>
      <w:r w:rsidR="007F3F03">
        <w:t xml:space="preserve">rokotteen </w:t>
      </w:r>
      <w:r>
        <w:t>käyttökuntoon saattamisesta ja antamisesta.</w:t>
      </w:r>
    </w:p>
    <w:p w14:paraId="35A4E5BC" w14:textId="4BDF7AE1" w:rsidR="003A27D6" w:rsidRDefault="008A6308">
      <w:pPr>
        <w:pStyle w:val="Bullet2"/>
        <w:numPr>
          <w:ilvl w:val="0"/>
          <w:numId w:val="3"/>
        </w:numPr>
        <w:ind w:left="1440" w:hanging="360"/>
      </w:pPr>
      <w:r>
        <w:t xml:space="preserve">Yksityiskohtainen kuvaus </w:t>
      </w:r>
      <w:r w:rsidR="007F3F03">
        <w:t xml:space="preserve">rokotteen </w:t>
      </w:r>
      <w:r>
        <w:t>antoon liittyvistä toimenpiteistä.</w:t>
      </w:r>
    </w:p>
    <w:p w14:paraId="120E39D6" w14:textId="77777777" w:rsidR="003A27D6" w:rsidRDefault="003A27D6"/>
    <w:p w14:paraId="46CD86BB" w14:textId="77777777" w:rsidR="003A27D6" w:rsidRDefault="008A6308">
      <w:pPr>
        <w:pStyle w:val="HeadingStrong"/>
      </w:pPr>
      <w:r>
        <w:t>Potilaan tietopaketti:</w:t>
      </w:r>
    </w:p>
    <w:p w14:paraId="55B6926B" w14:textId="77777777" w:rsidR="003A27D6" w:rsidRDefault="008A6308">
      <w:pPr>
        <w:pStyle w:val="Bullet2"/>
        <w:numPr>
          <w:ilvl w:val="0"/>
          <w:numId w:val="4"/>
        </w:numPr>
        <w:ind w:left="1440" w:hanging="360"/>
      </w:pPr>
      <w:r>
        <w:t>potilastiedote</w:t>
      </w:r>
    </w:p>
    <w:p w14:paraId="581BEE95" w14:textId="77777777" w:rsidR="003A27D6" w:rsidRDefault="008A6308">
      <w:pPr>
        <w:pStyle w:val="Bullet2"/>
        <w:numPr>
          <w:ilvl w:val="0"/>
          <w:numId w:val="4"/>
        </w:numPr>
        <w:ind w:left="1440" w:hanging="360"/>
      </w:pPr>
      <w:r>
        <w:t>potilaan/hoitajan opas</w:t>
      </w:r>
    </w:p>
    <w:p w14:paraId="6C7EE3CB" w14:textId="77777777" w:rsidR="007F3F03" w:rsidRDefault="007F3F03" w:rsidP="007F3F03">
      <w:pPr>
        <w:pStyle w:val="Bullet"/>
        <w:rPr>
          <w:rStyle w:val="Strong"/>
        </w:rPr>
      </w:pPr>
    </w:p>
    <w:p w14:paraId="429CB08E" w14:textId="6427F8C1" w:rsidR="003A27D6" w:rsidRDefault="008A6308" w:rsidP="00FE7CE1">
      <w:pPr>
        <w:pStyle w:val="Bullet"/>
        <w:rPr>
          <w:rStyle w:val="Strong"/>
        </w:rPr>
      </w:pPr>
      <w:r>
        <w:rPr>
          <w:rStyle w:val="Strong"/>
        </w:rPr>
        <w:t>Potilaan/hoitajan oppaan avainviestit:</w:t>
      </w:r>
    </w:p>
    <w:p w14:paraId="102E1D0B" w14:textId="5779D6B0" w:rsidR="003A27D6" w:rsidRDefault="008A6308">
      <w:pPr>
        <w:pStyle w:val="Bullet2"/>
        <w:numPr>
          <w:ilvl w:val="0"/>
          <w:numId w:val="4"/>
        </w:numPr>
        <w:ind w:left="1440" w:hanging="360"/>
      </w:pPr>
      <w:r>
        <w:t xml:space="preserve">On tärkeää, että </w:t>
      </w:r>
      <w:r w:rsidR="007F3F03">
        <w:t xml:space="preserve">rokote </w:t>
      </w:r>
      <w:r>
        <w:t>saatetaan käyttökuntoon ja annetaan ohjeiden mukaan.</w:t>
      </w:r>
    </w:p>
    <w:p w14:paraId="541CE039" w14:textId="77777777" w:rsidR="003A27D6" w:rsidRDefault="008A6308">
      <w:pPr>
        <w:pStyle w:val="Bullet2"/>
        <w:numPr>
          <w:ilvl w:val="0"/>
          <w:numId w:val="4"/>
        </w:numPr>
        <w:ind w:left="1440" w:hanging="360"/>
      </w:pPr>
      <w:r>
        <w:t>Ohjeisiin on kiinnitettävä erityistä huomiota, kun rokote valmistetaan ja annetaan 2 – &lt; 6-vuotiaille lapsille.</w:t>
      </w:r>
    </w:p>
    <w:p w14:paraId="72D2D182" w14:textId="782E0CAE" w:rsidR="003A27D6" w:rsidRDefault="008A6308">
      <w:pPr>
        <w:pStyle w:val="Bullet2"/>
        <w:numPr>
          <w:ilvl w:val="0"/>
          <w:numId w:val="4"/>
        </w:numPr>
        <w:ind w:left="1440" w:hanging="360"/>
      </w:pPr>
      <w:r>
        <w:t xml:space="preserve">Yksityiskohtainen kuvaus </w:t>
      </w:r>
      <w:r w:rsidR="007F3F03">
        <w:t xml:space="preserve">rokotteen </w:t>
      </w:r>
      <w:r>
        <w:t>ottamiseen liittyvistä menettelyistä.</w:t>
      </w:r>
    </w:p>
    <w:p w14:paraId="1CBC4A29" w14:textId="77777777" w:rsidR="003A27D6" w:rsidRDefault="008A6308">
      <w:pPr>
        <w:pStyle w:val="Bullet2"/>
        <w:numPr>
          <w:ilvl w:val="0"/>
          <w:numId w:val="4"/>
        </w:numPr>
        <w:ind w:left="1440" w:hanging="360"/>
      </w:pPr>
      <w:r>
        <w:t>Lääkitysvirheiden raportoinnin tärkeys.</w:t>
      </w:r>
    </w:p>
    <w:p w14:paraId="7E75C9F4" w14:textId="77777777" w:rsidR="003A27D6" w:rsidRDefault="008A6308">
      <w:r>
        <w:br w:type="page"/>
      </w:r>
    </w:p>
    <w:p w14:paraId="07D1854A" w14:textId="77777777" w:rsidR="003A27D6" w:rsidRDefault="003A27D6"/>
    <w:p w14:paraId="0BF30DE0" w14:textId="77777777" w:rsidR="003A27D6" w:rsidRDefault="003A27D6"/>
    <w:p w14:paraId="06680160" w14:textId="77777777" w:rsidR="003A27D6" w:rsidRDefault="003A27D6"/>
    <w:p w14:paraId="5F097FCA" w14:textId="77777777" w:rsidR="003A27D6" w:rsidRDefault="003A27D6"/>
    <w:p w14:paraId="0A783FE7" w14:textId="77777777" w:rsidR="003A27D6" w:rsidRDefault="003A27D6"/>
    <w:p w14:paraId="42383A63" w14:textId="77777777" w:rsidR="003A27D6" w:rsidRDefault="003A27D6"/>
    <w:p w14:paraId="0224CE05" w14:textId="77777777" w:rsidR="003A27D6" w:rsidRDefault="003A27D6"/>
    <w:p w14:paraId="5900586D" w14:textId="77777777" w:rsidR="003A27D6" w:rsidRDefault="003A27D6"/>
    <w:p w14:paraId="7D4D39CB" w14:textId="77777777" w:rsidR="003A27D6" w:rsidRDefault="003A27D6"/>
    <w:p w14:paraId="16AF1CAE" w14:textId="77777777" w:rsidR="003A27D6" w:rsidRDefault="003A27D6"/>
    <w:p w14:paraId="56EC0378" w14:textId="77777777" w:rsidR="003A27D6" w:rsidRDefault="003A27D6"/>
    <w:p w14:paraId="374DFEA4" w14:textId="77777777" w:rsidR="003A27D6" w:rsidRDefault="003A27D6"/>
    <w:p w14:paraId="462EB092" w14:textId="77777777" w:rsidR="003A27D6" w:rsidRDefault="003A27D6"/>
    <w:p w14:paraId="0838A676" w14:textId="77777777" w:rsidR="003A27D6" w:rsidRDefault="003A27D6"/>
    <w:p w14:paraId="0056B30B" w14:textId="77777777" w:rsidR="003A27D6" w:rsidRDefault="003A27D6"/>
    <w:p w14:paraId="191F6CFD" w14:textId="77777777" w:rsidR="003A27D6" w:rsidRDefault="003A27D6"/>
    <w:p w14:paraId="65A4DE08" w14:textId="77777777" w:rsidR="003A27D6" w:rsidRDefault="003A27D6"/>
    <w:p w14:paraId="00E6C2FD" w14:textId="77777777" w:rsidR="003A27D6" w:rsidRDefault="003A27D6"/>
    <w:p w14:paraId="2FD3270C" w14:textId="77777777" w:rsidR="003A27D6" w:rsidRDefault="003A27D6"/>
    <w:p w14:paraId="528DC79C" w14:textId="77777777" w:rsidR="003A27D6" w:rsidRDefault="003A27D6"/>
    <w:p w14:paraId="242F7F42" w14:textId="77777777" w:rsidR="003A27D6" w:rsidRDefault="003A27D6"/>
    <w:p w14:paraId="4D31BF06" w14:textId="77777777" w:rsidR="003A27D6" w:rsidRDefault="003A27D6"/>
    <w:p w14:paraId="087A1DED" w14:textId="77777777" w:rsidR="003A27D6" w:rsidRDefault="003A27D6"/>
    <w:p w14:paraId="4FDAD148" w14:textId="77777777" w:rsidR="003A27D6" w:rsidRDefault="008A6308">
      <w:pPr>
        <w:pStyle w:val="Title"/>
      </w:pPr>
      <w:r>
        <w:t>LIITE III</w:t>
      </w:r>
    </w:p>
    <w:p w14:paraId="189B9C3D" w14:textId="77777777" w:rsidR="003A27D6" w:rsidRDefault="003A27D6"/>
    <w:p w14:paraId="24C584E9" w14:textId="77777777" w:rsidR="003A27D6" w:rsidRDefault="008A6308">
      <w:pPr>
        <w:pStyle w:val="Title"/>
      </w:pPr>
      <w:r>
        <w:t>MYYNTIPÄÄLLYSMERKINNÄT JA PAKKAUSSELOSTE</w:t>
      </w:r>
      <w:r>
        <w:br w:type="page"/>
      </w:r>
    </w:p>
    <w:p w14:paraId="4888B3B0" w14:textId="77777777" w:rsidR="003A27D6" w:rsidRDefault="003A27D6"/>
    <w:p w14:paraId="3F6246FF" w14:textId="77777777" w:rsidR="003A27D6" w:rsidRDefault="003A27D6"/>
    <w:p w14:paraId="384A793B" w14:textId="77777777" w:rsidR="003A27D6" w:rsidRDefault="003A27D6"/>
    <w:p w14:paraId="1C19A90C" w14:textId="77777777" w:rsidR="003A27D6" w:rsidRDefault="003A27D6"/>
    <w:p w14:paraId="1F76F852" w14:textId="77777777" w:rsidR="003A27D6" w:rsidRDefault="003A27D6"/>
    <w:p w14:paraId="322115CA" w14:textId="77777777" w:rsidR="003A27D6" w:rsidRDefault="003A27D6"/>
    <w:p w14:paraId="3A4DC278" w14:textId="77777777" w:rsidR="003A27D6" w:rsidRDefault="003A27D6"/>
    <w:p w14:paraId="542A5880" w14:textId="77777777" w:rsidR="003A27D6" w:rsidRDefault="003A27D6"/>
    <w:p w14:paraId="7791F758" w14:textId="77777777" w:rsidR="003A27D6" w:rsidRDefault="003A27D6"/>
    <w:p w14:paraId="35CAEACC" w14:textId="77777777" w:rsidR="003A27D6" w:rsidRDefault="003A27D6"/>
    <w:p w14:paraId="449E6974" w14:textId="77777777" w:rsidR="003A27D6" w:rsidRDefault="003A27D6"/>
    <w:p w14:paraId="0C405CB6" w14:textId="77777777" w:rsidR="003A27D6" w:rsidRDefault="003A27D6"/>
    <w:p w14:paraId="1C31763B" w14:textId="77777777" w:rsidR="003A27D6" w:rsidRDefault="003A27D6"/>
    <w:p w14:paraId="30916D2E" w14:textId="77777777" w:rsidR="003A27D6" w:rsidRDefault="003A27D6"/>
    <w:p w14:paraId="56165CF2" w14:textId="77777777" w:rsidR="003A27D6" w:rsidRDefault="003A27D6"/>
    <w:p w14:paraId="32F88496" w14:textId="77777777" w:rsidR="003A27D6" w:rsidRDefault="003A27D6"/>
    <w:p w14:paraId="03032BB6" w14:textId="77777777" w:rsidR="003A27D6" w:rsidRDefault="003A27D6"/>
    <w:p w14:paraId="2BB0A7F4" w14:textId="77777777" w:rsidR="003A27D6" w:rsidRDefault="003A27D6"/>
    <w:p w14:paraId="33281662" w14:textId="77777777" w:rsidR="003A27D6" w:rsidRDefault="003A27D6"/>
    <w:p w14:paraId="23EF76CF" w14:textId="77777777" w:rsidR="003A27D6" w:rsidRDefault="003A27D6"/>
    <w:p w14:paraId="34ADA86F" w14:textId="77777777" w:rsidR="003A27D6" w:rsidRDefault="003A27D6"/>
    <w:p w14:paraId="05237DE0" w14:textId="77777777" w:rsidR="003A27D6" w:rsidRDefault="003A27D6"/>
    <w:p w14:paraId="3DA09BCB" w14:textId="77777777" w:rsidR="003A27D6" w:rsidRDefault="003A27D6"/>
    <w:p w14:paraId="55859509" w14:textId="77777777" w:rsidR="003A27D6" w:rsidRDefault="008A6308">
      <w:pPr>
        <w:pStyle w:val="TitleA"/>
      </w:pPr>
      <w:r>
        <w:t>A. MYYNTIPÄÄLLYSMERKINNÄT</w:t>
      </w:r>
    </w:p>
    <w:p w14:paraId="00B34F64" w14:textId="77777777" w:rsidR="003A27D6" w:rsidRDefault="003A27D6"/>
    <w:p w14:paraId="79F96FFD" w14:textId="77777777" w:rsidR="003A27D6" w:rsidRDefault="008A6308">
      <w:r>
        <w:br w:type="page"/>
      </w:r>
    </w:p>
    <w:p w14:paraId="714A33BF" w14:textId="77777777" w:rsidR="003A27D6" w:rsidRDefault="008A6308">
      <w:pPr>
        <w:pStyle w:val="Heading1LAB"/>
      </w:pPr>
      <w:r>
        <w:lastRenderedPageBreak/>
        <w:t>ULKOPAKKAUKSESSA ON OLTAVA SEURAAVAT MERKINNÄT</w:t>
      </w:r>
    </w:p>
    <w:p w14:paraId="46B00EE9" w14:textId="77777777" w:rsidR="003A27D6" w:rsidRDefault="003A27D6">
      <w:pPr>
        <w:pStyle w:val="Heading1LAB"/>
      </w:pPr>
    </w:p>
    <w:p w14:paraId="6B38E978" w14:textId="77777777" w:rsidR="003A27D6" w:rsidRDefault="008A6308">
      <w:pPr>
        <w:pStyle w:val="Heading1LAB"/>
      </w:pPr>
      <w:r>
        <w:t>Yksittäinen pahvikotelo</w:t>
      </w:r>
    </w:p>
    <w:p w14:paraId="01617EDC" w14:textId="77777777" w:rsidR="003A27D6" w:rsidRDefault="003A27D6"/>
    <w:p w14:paraId="144C5E85" w14:textId="77777777" w:rsidR="003A27D6" w:rsidRDefault="003A27D6"/>
    <w:p w14:paraId="50D2C851" w14:textId="77777777" w:rsidR="003A27D6" w:rsidRDefault="008A6308">
      <w:pPr>
        <w:pStyle w:val="Heading1LAB"/>
      </w:pPr>
      <w:r>
        <w:t>1.</w:t>
      </w:r>
      <w:r>
        <w:tab/>
        <w:t>LÄÄKEVALMISTEEN NIMI</w:t>
      </w:r>
    </w:p>
    <w:p w14:paraId="415BB304" w14:textId="77777777" w:rsidR="003A27D6" w:rsidRDefault="003A27D6">
      <w:pPr>
        <w:keepNext/>
      </w:pPr>
    </w:p>
    <w:p w14:paraId="75EF6BAE" w14:textId="77777777" w:rsidR="003A27D6" w:rsidRDefault="008A6308">
      <w:r>
        <w:t>Vaxchora</w:t>
      </w:r>
    </w:p>
    <w:p w14:paraId="7D02DA22" w14:textId="77777777" w:rsidR="003A27D6" w:rsidRDefault="008A6308">
      <w:r>
        <w:t>Porejauhe ja jauhe oraalisuspensiota varten</w:t>
      </w:r>
    </w:p>
    <w:p w14:paraId="71774827" w14:textId="77777777" w:rsidR="003A27D6" w:rsidRDefault="008A6308">
      <w:r>
        <w:t>Kolerarokote (rekombinantti, elävä, suun kautta otettava)</w:t>
      </w:r>
    </w:p>
    <w:p w14:paraId="0817FF7A" w14:textId="77777777" w:rsidR="003A27D6" w:rsidRDefault="003A27D6"/>
    <w:p w14:paraId="1BB08FD0" w14:textId="77777777" w:rsidR="003A27D6" w:rsidRDefault="003A27D6"/>
    <w:p w14:paraId="5F89E3A5" w14:textId="77777777" w:rsidR="003A27D6" w:rsidRDefault="008A6308">
      <w:pPr>
        <w:pStyle w:val="Heading1LAB"/>
      </w:pPr>
      <w:r>
        <w:t>2.</w:t>
      </w:r>
      <w:r>
        <w:tab/>
        <w:t>VAIKUTTAVA(T) AINE(ET)</w:t>
      </w:r>
    </w:p>
    <w:p w14:paraId="47EF1CEA" w14:textId="77777777" w:rsidR="003A27D6" w:rsidRDefault="003A27D6">
      <w:pPr>
        <w:keepNext/>
      </w:pPr>
    </w:p>
    <w:p w14:paraId="3B350D08" w14:textId="3DD9D2EE" w:rsidR="003A27D6" w:rsidRDefault="008A6308">
      <w:r>
        <w:t>4 ×</w:t>
      </w:r>
      <w:r w:rsidR="00B81B4C">
        <w:t> </w:t>
      </w:r>
      <w:r>
        <w:t>10</w:t>
      </w:r>
      <w:r>
        <w:rPr>
          <w:rStyle w:val="Superscript"/>
        </w:rPr>
        <w:t>8</w:t>
      </w:r>
      <w:r>
        <w:t> – 2 ×</w:t>
      </w:r>
      <w:r w:rsidR="00B81B4C">
        <w:t> </w:t>
      </w:r>
      <w:r>
        <w:t>10</w:t>
      </w:r>
      <w:r>
        <w:rPr>
          <w:rStyle w:val="Superscript"/>
        </w:rPr>
        <w:t>9</w:t>
      </w:r>
      <w:r>
        <w:t xml:space="preserve"> elinkelpoista solua </w:t>
      </w:r>
      <w:r>
        <w:rPr>
          <w:rStyle w:val="Painotus"/>
        </w:rPr>
        <w:t>V</w:t>
      </w:r>
      <w:r w:rsidR="007F3F03">
        <w:rPr>
          <w:rStyle w:val="Painotus"/>
        </w:rPr>
        <w:t>ibrio</w:t>
      </w:r>
      <w:r>
        <w:t> </w:t>
      </w:r>
      <w:r>
        <w:rPr>
          <w:rStyle w:val="Painotus"/>
        </w:rPr>
        <w:t>cholerae</w:t>
      </w:r>
      <w:r>
        <w:t xml:space="preserve"> -kannasta CVD 103-HgR.</w:t>
      </w:r>
    </w:p>
    <w:p w14:paraId="7D41C571" w14:textId="77777777" w:rsidR="003A27D6" w:rsidRDefault="003A27D6"/>
    <w:p w14:paraId="5F408293" w14:textId="77777777" w:rsidR="003A27D6" w:rsidRDefault="003A27D6"/>
    <w:p w14:paraId="48DE2B6D" w14:textId="77777777" w:rsidR="003A27D6" w:rsidRDefault="008A6308">
      <w:pPr>
        <w:pStyle w:val="Heading1LAB"/>
      </w:pPr>
      <w:r>
        <w:t>3.</w:t>
      </w:r>
      <w:r>
        <w:tab/>
        <w:t>LUETTELO APUAINEISTA</w:t>
      </w:r>
    </w:p>
    <w:p w14:paraId="0E34CF44" w14:textId="77777777" w:rsidR="003A27D6" w:rsidRDefault="003A27D6">
      <w:pPr>
        <w:keepNext/>
      </w:pPr>
    </w:p>
    <w:p w14:paraId="1B000EF0" w14:textId="77777777" w:rsidR="003A27D6" w:rsidRDefault="008A6308">
      <w:r>
        <w:t xml:space="preserve">Sisältää sakkaroosia, laktoosia ja natriumia. </w:t>
      </w:r>
      <w:r>
        <w:rPr>
          <w:highlight w:val="lightGray"/>
        </w:rPr>
        <w:t>Lisätietoja pakkausselosteessa.</w:t>
      </w:r>
    </w:p>
    <w:p w14:paraId="6C49DF9B" w14:textId="77777777" w:rsidR="003A27D6" w:rsidRDefault="003A27D6"/>
    <w:p w14:paraId="69143604" w14:textId="77777777" w:rsidR="003A27D6" w:rsidRDefault="003A27D6"/>
    <w:p w14:paraId="47692945" w14:textId="77777777" w:rsidR="003A27D6" w:rsidRDefault="008A6308">
      <w:pPr>
        <w:pStyle w:val="Heading1LAB"/>
      </w:pPr>
      <w:r>
        <w:t>4.</w:t>
      </w:r>
      <w:r>
        <w:tab/>
        <w:t>LÄÄKEMUOTO JA SISÄLLÖN MÄÄRÄ</w:t>
      </w:r>
    </w:p>
    <w:p w14:paraId="28611289" w14:textId="77777777" w:rsidR="003A27D6" w:rsidRDefault="003A27D6">
      <w:pPr>
        <w:keepNext/>
      </w:pPr>
    </w:p>
    <w:p w14:paraId="2CD5D184" w14:textId="6418A9A8" w:rsidR="007F3F03" w:rsidRDefault="007F3F03">
      <w:r w:rsidRPr="00FE7CE1">
        <w:rPr>
          <w:highlight w:val="lightGray"/>
        </w:rPr>
        <w:t>Porejauhe ja jauhe oraalisuspensiota varten</w:t>
      </w:r>
    </w:p>
    <w:p w14:paraId="2F10DCC6" w14:textId="7ECD80DE" w:rsidR="003A27D6" w:rsidRDefault="008A6308">
      <w:r>
        <w:t>1 annospussi jauhetta oraalisuspensiota varten</w:t>
      </w:r>
    </w:p>
    <w:p w14:paraId="34F26AF4" w14:textId="77777777" w:rsidR="003A27D6" w:rsidRDefault="008A6308">
      <w:r>
        <w:t>1 annospussi porejauhetta</w:t>
      </w:r>
    </w:p>
    <w:p w14:paraId="52FDD002" w14:textId="77777777" w:rsidR="003A27D6" w:rsidRDefault="008A6308">
      <w:r>
        <w:t>Yksi annos.</w:t>
      </w:r>
    </w:p>
    <w:p w14:paraId="6E21AD7F" w14:textId="77777777" w:rsidR="003A27D6" w:rsidRDefault="003A27D6"/>
    <w:p w14:paraId="1D09DA00" w14:textId="77777777" w:rsidR="003A27D6" w:rsidRDefault="003A27D6"/>
    <w:p w14:paraId="1DFCE507" w14:textId="77777777" w:rsidR="003A27D6" w:rsidRDefault="008A6308">
      <w:pPr>
        <w:pStyle w:val="Heading1LAB"/>
      </w:pPr>
      <w:r>
        <w:t>5.</w:t>
      </w:r>
      <w:r>
        <w:tab/>
        <w:t>ANTOTAPA JA TARVITTAESSA ANTOREITTI (ANTOREITIT)</w:t>
      </w:r>
    </w:p>
    <w:p w14:paraId="09EB0BC6" w14:textId="77777777" w:rsidR="003A27D6" w:rsidRDefault="003A27D6">
      <w:pPr>
        <w:keepNext/>
      </w:pPr>
    </w:p>
    <w:p w14:paraId="192F5052" w14:textId="77777777" w:rsidR="003A27D6" w:rsidRDefault="008A6308">
      <w:r>
        <w:t>Lue pakkausseloste ennen käyttöä.</w:t>
      </w:r>
    </w:p>
    <w:p w14:paraId="472925C4" w14:textId="53598B42" w:rsidR="003A27D6" w:rsidRDefault="008A6308">
      <w:r>
        <w:t>Sekoita porejauhe (annospussi 1) pullotettuun veteen (VAIN 2 – &lt; 6-vuotiaiden lasten kohdalla: hävitä puolet liuoksesta), lisää sen jälkeen vaikuttava aine (annospussi 2) ja sekoita ennen nauttimista.</w:t>
      </w:r>
    </w:p>
    <w:p w14:paraId="109AB117" w14:textId="77777777" w:rsidR="003A27D6" w:rsidRDefault="008A6308">
      <w:r>
        <w:t>Suun kautta.</w:t>
      </w:r>
    </w:p>
    <w:p w14:paraId="19886D84" w14:textId="77777777" w:rsidR="003A27D6" w:rsidRDefault="003A27D6"/>
    <w:p w14:paraId="21DE103C" w14:textId="77777777" w:rsidR="003A27D6" w:rsidRDefault="003A27D6"/>
    <w:p w14:paraId="5F2198E0" w14:textId="77777777" w:rsidR="003A27D6" w:rsidRDefault="008A6308">
      <w:pPr>
        <w:pStyle w:val="Heading1LAB"/>
      </w:pPr>
      <w:r>
        <w:t>6.</w:t>
      </w:r>
      <w:r>
        <w:tab/>
        <w:t>ERITYISVAROITUS VALMISTEEN SÄILYTTÄMISESTÄ POISSA LASTEN ULOTTUVILTA JA NÄKYVILTÄ</w:t>
      </w:r>
    </w:p>
    <w:p w14:paraId="26F2A35E" w14:textId="77777777" w:rsidR="003A27D6" w:rsidRDefault="003A27D6">
      <w:pPr>
        <w:keepNext/>
      </w:pPr>
    </w:p>
    <w:p w14:paraId="45720665" w14:textId="77777777" w:rsidR="003A27D6" w:rsidRDefault="008A6308">
      <w:r>
        <w:t>Ei lasten ulottuville eikä näkyville.</w:t>
      </w:r>
    </w:p>
    <w:p w14:paraId="426C21D7" w14:textId="77777777" w:rsidR="003A27D6" w:rsidRDefault="003A27D6"/>
    <w:p w14:paraId="495B0414" w14:textId="77777777" w:rsidR="003A27D6" w:rsidRDefault="003A27D6"/>
    <w:p w14:paraId="43B85E57" w14:textId="77777777" w:rsidR="003A27D6" w:rsidRDefault="008A6308">
      <w:pPr>
        <w:pStyle w:val="Heading1LAB"/>
      </w:pPr>
      <w:r>
        <w:t>7.</w:t>
      </w:r>
      <w:r>
        <w:tab/>
        <w:t>MUU ERITYISVAROITUS (MUUT ERITYISVAROITUKSET), JOS TARPEEN</w:t>
      </w:r>
    </w:p>
    <w:p w14:paraId="1307F8BD" w14:textId="77777777" w:rsidR="003A27D6" w:rsidRDefault="003A27D6">
      <w:pPr>
        <w:keepNext/>
      </w:pPr>
    </w:p>
    <w:p w14:paraId="6CD4E3C3" w14:textId="77777777" w:rsidR="003A27D6" w:rsidRDefault="003A27D6"/>
    <w:p w14:paraId="3E329D9C" w14:textId="77777777" w:rsidR="003A27D6" w:rsidRDefault="008A6308">
      <w:pPr>
        <w:pStyle w:val="Heading1LAB"/>
      </w:pPr>
      <w:r>
        <w:t>8.</w:t>
      </w:r>
      <w:r>
        <w:tab/>
        <w:t>VIIMEINEN KÄYTTÖPÄIVÄMÄÄRÄ</w:t>
      </w:r>
    </w:p>
    <w:p w14:paraId="36D5478F" w14:textId="77777777" w:rsidR="003A27D6" w:rsidRDefault="003A27D6">
      <w:pPr>
        <w:keepNext/>
      </w:pPr>
    </w:p>
    <w:p w14:paraId="2F270348" w14:textId="77777777" w:rsidR="003A27D6" w:rsidRDefault="008A6308">
      <w:r>
        <w:t>EXP</w:t>
      </w:r>
    </w:p>
    <w:p w14:paraId="06B59BD4" w14:textId="77777777" w:rsidR="003A27D6" w:rsidRDefault="003A27D6"/>
    <w:p w14:paraId="0027D01D" w14:textId="77777777" w:rsidR="003A27D6" w:rsidRDefault="003A27D6"/>
    <w:p w14:paraId="12678F93" w14:textId="77777777" w:rsidR="003A27D6" w:rsidRDefault="008A6308">
      <w:pPr>
        <w:pStyle w:val="Heading1LAB"/>
      </w:pPr>
      <w:r>
        <w:lastRenderedPageBreak/>
        <w:t>9.</w:t>
      </w:r>
      <w:r>
        <w:tab/>
        <w:t>ERITYISET SÄILYTYSOLOSUHTEET</w:t>
      </w:r>
    </w:p>
    <w:p w14:paraId="29FBC63C" w14:textId="77777777" w:rsidR="003A27D6" w:rsidRDefault="003A27D6">
      <w:pPr>
        <w:keepNext/>
      </w:pPr>
    </w:p>
    <w:p w14:paraId="3AF0A6BF" w14:textId="77777777" w:rsidR="003A27D6" w:rsidRDefault="008A6308">
      <w:r>
        <w:t>Säilytä jääkaapissa.</w:t>
      </w:r>
    </w:p>
    <w:p w14:paraId="60D99A62" w14:textId="4D54E6AC" w:rsidR="007F3F03" w:rsidRDefault="007F3F03">
      <w:r>
        <w:rPr>
          <w:noProof/>
        </w:rPr>
        <w:t>Säilytä alkuperäispakkauksessa. Herkkä valolle ja kosteudelle.</w:t>
      </w:r>
    </w:p>
    <w:p w14:paraId="3D39CD38" w14:textId="77777777" w:rsidR="003A27D6" w:rsidRDefault="003A27D6"/>
    <w:p w14:paraId="6D82C365" w14:textId="77777777" w:rsidR="003A27D6" w:rsidRDefault="003A27D6"/>
    <w:p w14:paraId="4C8EE2AA" w14:textId="77777777" w:rsidR="003A27D6" w:rsidRDefault="008A6308">
      <w:pPr>
        <w:pStyle w:val="Heading1LAB"/>
      </w:pPr>
      <w:r>
        <w:t>10.</w:t>
      </w:r>
      <w:r>
        <w:tab/>
        <w:t>ERITYISET VAROTOIMET KÄYTTÄMÄTTÖMIEN LÄÄKEVALMISTEIDEN TAI NIISTÄ PERÄISIN OLEVAN JÄTEMATERIAALIN HÄVITTÄMISEKSI, JOS TARPEEN</w:t>
      </w:r>
    </w:p>
    <w:p w14:paraId="209A8008" w14:textId="77777777" w:rsidR="003A27D6" w:rsidRDefault="003A27D6">
      <w:pPr>
        <w:keepNext/>
      </w:pPr>
    </w:p>
    <w:p w14:paraId="622E7870" w14:textId="0EEA3D8D" w:rsidR="003A27D6" w:rsidRDefault="008A6308">
      <w:r>
        <w:t>Tämä lääke sisältää muuntogeenisiä organismeja. Käyttämätön lääkevalmiste</w:t>
      </w:r>
      <w:r w:rsidR="007F3F03">
        <w:t xml:space="preserve"> ja jäte</w:t>
      </w:r>
      <w:r>
        <w:t xml:space="preserve"> on hävitettävä paikallisten bioturvallisuusvaatimusten mukaisesti.</w:t>
      </w:r>
    </w:p>
    <w:p w14:paraId="2BCF501C" w14:textId="77777777" w:rsidR="003A27D6" w:rsidRDefault="003A27D6"/>
    <w:p w14:paraId="4B40F978" w14:textId="77777777" w:rsidR="003A27D6" w:rsidRDefault="003A27D6"/>
    <w:p w14:paraId="16AF4C62" w14:textId="77777777" w:rsidR="003A27D6" w:rsidRDefault="008A6308">
      <w:pPr>
        <w:pStyle w:val="Heading1LAB"/>
      </w:pPr>
      <w:r>
        <w:t>11.</w:t>
      </w:r>
      <w:r>
        <w:tab/>
        <w:t>MYYNTILUVAN HALTIJAN NIMI JA OSOITE</w:t>
      </w:r>
    </w:p>
    <w:p w14:paraId="5E1212A2" w14:textId="77777777" w:rsidR="003A27D6" w:rsidRDefault="003A27D6">
      <w:pPr>
        <w:keepNext/>
      </w:pPr>
    </w:p>
    <w:p w14:paraId="65CDCE87" w14:textId="77777777" w:rsidR="00421E0E" w:rsidRPr="00B81B4C" w:rsidRDefault="00421E0E" w:rsidP="00421E0E">
      <w:r w:rsidRPr="00B81B4C">
        <w:t>Bavarian Nordic A/S</w:t>
      </w:r>
    </w:p>
    <w:p w14:paraId="2378EC15" w14:textId="5369292A" w:rsidR="00421E0E" w:rsidRPr="00B81B4C" w:rsidRDefault="00421E0E" w:rsidP="00421E0E">
      <w:r w:rsidRPr="00B81B4C">
        <w:t>Philip Heymans Alle 3</w:t>
      </w:r>
    </w:p>
    <w:p w14:paraId="7105AFB4" w14:textId="045D2261" w:rsidR="00421E0E" w:rsidRPr="00B81B4C" w:rsidRDefault="00421E0E" w:rsidP="00421E0E">
      <w:pPr>
        <w:rPr>
          <w:lang w:val="sv-SE"/>
        </w:rPr>
      </w:pPr>
      <w:r w:rsidRPr="00B81B4C">
        <w:rPr>
          <w:lang w:val="sv-SE"/>
        </w:rPr>
        <w:t>DK-2900 Hellerup</w:t>
      </w:r>
    </w:p>
    <w:p w14:paraId="3927ED13" w14:textId="4A032FC5" w:rsidR="003A27D6" w:rsidRDefault="00421E0E">
      <w:r w:rsidRPr="00B81B4C">
        <w:rPr>
          <w:lang w:val="sv-SE"/>
        </w:rPr>
        <w:t>Tanska</w:t>
      </w:r>
    </w:p>
    <w:p w14:paraId="4BBED4E2" w14:textId="77777777" w:rsidR="003A27D6" w:rsidRDefault="003A27D6"/>
    <w:p w14:paraId="72F9B9EA" w14:textId="77777777" w:rsidR="003A27D6" w:rsidRDefault="003A27D6"/>
    <w:p w14:paraId="715E41B6" w14:textId="77777777" w:rsidR="003A27D6" w:rsidRDefault="008A6308">
      <w:pPr>
        <w:pStyle w:val="Heading1LAB"/>
      </w:pPr>
      <w:r>
        <w:t>12.</w:t>
      </w:r>
      <w:r>
        <w:tab/>
        <w:t>MYYNTILUVAN NUMERO(T)</w:t>
      </w:r>
    </w:p>
    <w:p w14:paraId="480BDF20" w14:textId="77777777" w:rsidR="003A27D6" w:rsidRDefault="003A27D6">
      <w:pPr>
        <w:keepNext/>
      </w:pPr>
    </w:p>
    <w:p w14:paraId="0A7B99C8" w14:textId="77777777" w:rsidR="003A27D6" w:rsidRDefault="008A6308">
      <w:r>
        <w:t>EU/1/20/1423/001</w:t>
      </w:r>
    </w:p>
    <w:p w14:paraId="42C74840" w14:textId="77777777" w:rsidR="003A27D6" w:rsidRDefault="003A27D6"/>
    <w:p w14:paraId="722B9ABC" w14:textId="77777777" w:rsidR="003A27D6" w:rsidRDefault="003A27D6"/>
    <w:p w14:paraId="0DDC162F" w14:textId="77777777" w:rsidR="003A27D6" w:rsidRDefault="008A6308">
      <w:pPr>
        <w:pStyle w:val="Heading1LAB"/>
      </w:pPr>
      <w:r>
        <w:t>13.</w:t>
      </w:r>
      <w:r>
        <w:tab/>
        <w:t>ERÄNUMERO</w:t>
      </w:r>
    </w:p>
    <w:p w14:paraId="4F4BD487" w14:textId="77777777" w:rsidR="003A27D6" w:rsidRDefault="003A27D6">
      <w:pPr>
        <w:keepNext/>
      </w:pPr>
    </w:p>
    <w:p w14:paraId="2B251583" w14:textId="77777777" w:rsidR="003A27D6" w:rsidRDefault="008A6308">
      <w:r>
        <w:t>Lot</w:t>
      </w:r>
    </w:p>
    <w:p w14:paraId="48B70D98" w14:textId="77777777" w:rsidR="003A27D6" w:rsidRDefault="003A27D6"/>
    <w:p w14:paraId="3191533E" w14:textId="77777777" w:rsidR="003A27D6" w:rsidRDefault="003A27D6"/>
    <w:p w14:paraId="2F332EE4" w14:textId="77777777" w:rsidR="003A27D6" w:rsidRDefault="008A6308">
      <w:pPr>
        <w:pStyle w:val="Heading1LAB"/>
      </w:pPr>
      <w:r>
        <w:t>14.</w:t>
      </w:r>
      <w:r>
        <w:tab/>
        <w:t>YLEINEN TOIMITTAMISLUOKITTELU</w:t>
      </w:r>
    </w:p>
    <w:p w14:paraId="599AB199" w14:textId="77777777" w:rsidR="003A27D6" w:rsidRDefault="003A27D6">
      <w:pPr>
        <w:keepNext/>
      </w:pPr>
    </w:p>
    <w:p w14:paraId="696E4F5D" w14:textId="77777777" w:rsidR="003A27D6" w:rsidRDefault="003A27D6"/>
    <w:p w14:paraId="47E79068" w14:textId="77777777" w:rsidR="003A27D6" w:rsidRDefault="008A6308">
      <w:pPr>
        <w:pStyle w:val="Heading1LAB"/>
      </w:pPr>
      <w:r>
        <w:t>15.</w:t>
      </w:r>
      <w:r>
        <w:tab/>
        <w:t>KÄYTTÖOHJEET</w:t>
      </w:r>
    </w:p>
    <w:p w14:paraId="199BB5A8" w14:textId="77777777" w:rsidR="003A27D6" w:rsidRDefault="003A27D6">
      <w:pPr>
        <w:keepNext/>
      </w:pPr>
    </w:p>
    <w:p w14:paraId="35A26042" w14:textId="77777777" w:rsidR="003A27D6" w:rsidRDefault="003A27D6"/>
    <w:p w14:paraId="315386BD" w14:textId="77777777" w:rsidR="003A27D6" w:rsidRDefault="008A6308">
      <w:pPr>
        <w:pStyle w:val="Heading1LAB"/>
      </w:pPr>
      <w:r>
        <w:t>16.</w:t>
      </w:r>
      <w:r>
        <w:tab/>
        <w:t>TIEDOT PISTEKIRJOITUKSELLA</w:t>
      </w:r>
    </w:p>
    <w:p w14:paraId="6C64D46D" w14:textId="77777777" w:rsidR="003A27D6" w:rsidRDefault="003A27D6">
      <w:pPr>
        <w:keepNext/>
      </w:pPr>
    </w:p>
    <w:p w14:paraId="73365CA5" w14:textId="77777777" w:rsidR="003A27D6" w:rsidRDefault="008A6308">
      <w:r>
        <w:t>Vaxchora</w:t>
      </w:r>
    </w:p>
    <w:p w14:paraId="078D1A4F" w14:textId="77777777" w:rsidR="003A27D6" w:rsidRDefault="003A27D6"/>
    <w:p w14:paraId="4B36FF9F" w14:textId="77777777" w:rsidR="003A27D6" w:rsidRDefault="003A27D6"/>
    <w:p w14:paraId="17F95613" w14:textId="77777777" w:rsidR="003A27D6" w:rsidRDefault="008A6308">
      <w:pPr>
        <w:pStyle w:val="Heading1LAB"/>
      </w:pPr>
      <w:r>
        <w:t>17.</w:t>
      </w:r>
      <w:r>
        <w:tab/>
        <w:t>YKSILÖLLINEN TUNNISTE – 2D-VIIVAKOODI</w:t>
      </w:r>
    </w:p>
    <w:p w14:paraId="5367CC2D" w14:textId="77777777" w:rsidR="003A27D6" w:rsidRDefault="003A27D6">
      <w:pPr>
        <w:keepNext/>
      </w:pPr>
    </w:p>
    <w:p w14:paraId="5010B9CE" w14:textId="77777777" w:rsidR="003A27D6" w:rsidRDefault="008A6308">
      <w:r>
        <w:rPr>
          <w:highlight w:val="lightGray"/>
        </w:rPr>
        <w:t>2D-viivakoodi, joka sisältää yksilöllisen tunnisteen.</w:t>
      </w:r>
    </w:p>
    <w:p w14:paraId="2CB4FD69" w14:textId="77777777" w:rsidR="003A27D6" w:rsidRDefault="003A27D6"/>
    <w:p w14:paraId="366A7C5D" w14:textId="77777777" w:rsidR="003A27D6" w:rsidRDefault="003A27D6"/>
    <w:p w14:paraId="2E31BFBF" w14:textId="77777777" w:rsidR="003A27D6" w:rsidRDefault="008A6308">
      <w:pPr>
        <w:pStyle w:val="Heading1LAB"/>
      </w:pPr>
      <w:r>
        <w:t>18.</w:t>
      </w:r>
      <w:r>
        <w:tab/>
        <w:t>YKSILÖLLINEN TUNNISTE – LUETTAVISSA OLEVAT TIEDOT</w:t>
      </w:r>
    </w:p>
    <w:p w14:paraId="4595D28F" w14:textId="77777777" w:rsidR="003A27D6" w:rsidRDefault="003A27D6">
      <w:pPr>
        <w:keepNext/>
      </w:pPr>
    </w:p>
    <w:p w14:paraId="1FBB9F6D" w14:textId="687DCB00" w:rsidR="003A27D6" w:rsidRDefault="008A6308">
      <w:r>
        <w:t>PC</w:t>
      </w:r>
    </w:p>
    <w:p w14:paraId="7BDFEC84" w14:textId="3CE1B756" w:rsidR="003A27D6" w:rsidRDefault="008A6308">
      <w:r>
        <w:t>SN</w:t>
      </w:r>
    </w:p>
    <w:p w14:paraId="58816E93" w14:textId="3A432D24" w:rsidR="003A27D6" w:rsidRDefault="008A6308">
      <w:r>
        <w:t>NN</w:t>
      </w:r>
      <w:r>
        <w:br w:type="page"/>
      </w:r>
    </w:p>
    <w:p w14:paraId="787BE985" w14:textId="77777777" w:rsidR="003A27D6" w:rsidRDefault="008A6308">
      <w:pPr>
        <w:pStyle w:val="Heading1LAB"/>
      </w:pPr>
      <w:r>
        <w:lastRenderedPageBreak/>
        <w:t>PIENISSÄ SISÄPAKKAUKSISSA ON OLTAVA VÄHINTÄÄN SEURAAVAT MERKINNÄT</w:t>
      </w:r>
    </w:p>
    <w:p w14:paraId="44BA97A4" w14:textId="77777777" w:rsidR="003A27D6" w:rsidRDefault="003A27D6">
      <w:pPr>
        <w:pStyle w:val="Heading1LAB"/>
      </w:pPr>
    </w:p>
    <w:p w14:paraId="45584006" w14:textId="77777777" w:rsidR="003A27D6" w:rsidRDefault="008A6308">
      <w:pPr>
        <w:pStyle w:val="Heading1LAB"/>
      </w:pPr>
      <w:r>
        <w:t>Annospussi</w:t>
      </w:r>
    </w:p>
    <w:p w14:paraId="659D1107" w14:textId="77777777" w:rsidR="003A27D6" w:rsidRDefault="003A27D6"/>
    <w:p w14:paraId="55A31421" w14:textId="77777777" w:rsidR="003A27D6" w:rsidRDefault="003A27D6"/>
    <w:p w14:paraId="6C4826FA" w14:textId="77777777" w:rsidR="003A27D6" w:rsidRDefault="008A6308">
      <w:pPr>
        <w:pStyle w:val="Heading1LAB"/>
      </w:pPr>
      <w:r>
        <w:t>1.</w:t>
      </w:r>
      <w:r>
        <w:tab/>
        <w:t>LÄÄKEVALMISTEEN NIMI JA TARVITTAESSA ANTOREITTI (ANTOREITIT)</w:t>
      </w:r>
    </w:p>
    <w:p w14:paraId="270C41BA" w14:textId="77777777" w:rsidR="003A27D6" w:rsidRDefault="003A27D6">
      <w:pPr>
        <w:keepNext/>
      </w:pPr>
    </w:p>
    <w:p w14:paraId="1C424E9F" w14:textId="77777777" w:rsidR="003A27D6" w:rsidRDefault="008A6308">
      <w:r>
        <w:t>Vaxchora, vaikuttava aine</w:t>
      </w:r>
    </w:p>
    <w:p w14:paraId="36CED944" w14:textId="77777777" w:rsidR="003A27D6" w:rsidRDefault="008A6308">
      <w:r>
        <w:t>jauhe oraalisuspensiota varten</w:t>
      </w:r>
    </w:p>
    <w:p w14:paraId="3871E5B0" w14:textId="77777777" w:rsidR="003A27D6" w:rsidRDefault="008A6308">
      <w:r>
        <w:t>kolerarokotekanta</w:t>
      </w:r>
    </w:p>
    <w:p w14:paraId="04855E91" w14:textId="77777777" w:rsidR="003A27D6" w:rsidRDefault="008A6308">
      <w:r>
        <w:t>Suun kautta</w:t>
      </w:r>
    </w:p>
    <w:p w14:paraId="0B899B0C" w14:textId="77777777" w:rsidR="003A27D6" w:rsidRDefault="003A27D6"/>
    <w:p w14:paraId="390DE1F1" w14:textId="77777777" w:rsidR="003A27D6" w:rsidRDefault="003A27D6"/>
    <w:p w14:paraId="64A1B86F" w14:textId="77777777" w:rsidR="003A27D6" w:rsidRDefault="008A6308">
      <w:pPr>
        <w:pStyle w:val="Heading1LAB"/>
      </w:pPr>
      <w:r>
        <w:t>2.</w:t>
      </w:r>
      <w:r>
        <w:tab/>
        <w:t>ANTOTAPA</w:t>
      </w:r>
    </w:p>
    <w:p w14:paraId="2B2D6B05" w14:textId="77777777" w:rsidR="003A27D6" w:rsidRDefault="003A27D6">
      <w:pPr>
        <w:keepNext/>
      </w:pPr>
    </w:p>
    <w:p w14:paraId="086F597D" w14:textId="3E27A22F" w:rsidR="003A27D6" w:rsidRDefault="008A6308">
      <w:r>
        <w:t xml:space="preserve">Käytetään pullotettuun veteen liuotetun </w:t>
      </w:r>
      <w:r w:rsidR="007F3F03">
        <w:t>Vaxchora-puskuri</w:t>
      </w:r>
      <w:r w:rsidR="00F44BD5">
        <w:t>n</w:t>
      </w:r>
      <w:r>
        <w:t xml:space="preserve"> kanssa.</w:t>
      </w:r>
    </w:p>
    <w:p w14:paraId="32C8CC81" w14:textId="77777777" w:rsidR="003A27D6" w:rsidRDefault="008A6308">
      <w:r>
        <w:t>Lue pakkausseloste ennen käyttöä.</w:t>
      </w:r>
    </w:p>
    <w:p w14:paraId="5C5A3E43" w14:textId="77777777" w:rsidR="003A27D6" w:rsidRDefault="003A27D6"/>
    <w:p w14:paraId="0D138289" w14:textId="77777777" w:rsidR="003A27D6" w:rsidRDefault="003A27D6"/>
    <w:p w14:paraId="40836E5A" w14:textId="77777777" w:rsidR="003A27D6" w:rsidRDefault="008A6308">
      <w:pPr>
        <w:pStyle w:val="Heading1LAB"/>
      </w:pPr>
      <w:r>
        <w:t>3.</w:t>
      </w:r>
      <w:r>
        <w:tab/>
        <w:t>VIIMEINEN KÄYTTÖPÄIVÄMÄÄRÄ</w:t>
      </w:r>
    </w:p>
    <w:p w14:paraId="0D2D4F76" w14:textId="77777777" w:rsidR="003A27D6" w:rsidRDefault="003A27D6">
      <w:pPr>
        <w:keepNext/>
      </w:pPr>
    </w:p>
    <w:p w14:paraId="1E4E1066" w14:textId="77777777" w:rsidR="003A27D6" w:rsidRDefault="008A6308">
      <w:r>
        <w:t>EXP</w:t>
      </w:r>
    </w:p>
    <w:p w14:paraId="33D7EB2D" w14:textId="77777777" w:rsidR="003A27D6" w:rsidRDefault="003A27D6"/>
    <w:p w14:paraId="7D65FA2E" w14:textId="77777777" w:rsidR="003A27D6" w:rsidRDefault="003A27D6"/>
    <w:p w14:paraId="4C3BB8F0" w14:textId="77777777" w:rsidR="003A27D6" w:rsidRDefault="008A6308">
      <w:pPr>
        <w:pStyle w:val="Heading1LAB"/>
      </w:pPr>
      <w:r>
        <w:t>4.</w:t>
      </w:r>
      <w:r>
        <w:tab/>
        <w:t>ERÄNUMERO</w:t>
      </w:r>
    </w:p>
    <w:p w14:paraId="2A329D57" w14:textId="77777777" w:rsidR="003A27D6" w:rsidRDefault="003A27D6">
      <w:pPr>
        <w:keepNext/>
      </w:pPr>
    </w:p>
    <w:p w14:paraId="72CAD763" w14:textId="77777777" w:rsidR="003A27D6" w:rsidRDefault="008A6308">
      <w:r>
        <w:t>Lot</w:t>
      </w:r>
    </w:p>
    <w:p w14:paraId="6AB5E76D" w14:textId="77777777" w:rsidR="003A27D6" w:rsidRDefault="003A27D6"/>
    <w:p w14:paraId="5F7C212E" w14:textId="77777777" w:rsidR="003A27D6" w:rsidRDefault="003A27D6"/>
    <w:p w14:paraId="3811C0B9" w14:textId="77777777" w:rsidR="003A27D6" w:rsidRDefault="008A6308">
      <w:pPr>
        <w:pStyle w:val="Heading1LAB"/>
      </w:pPr>
      <w:r>
        <w:t>5.</w:t>
      </w:r>
      <w:r>
        <w:tab/>
        <w:t>SISÄLLÖN MÄÄRÄ PAINONA, TILAVUUTENA TAI YKSIKKÖINÄ</w:t>
      </w:r>
    </w:p>
    <w:p w14:paraId="1C1B38F9" w14:textId="77777777" w:rsidR="003A27D6" w:rsidRDefault="003A27D6">
      <w:pPr>
        <w:keepNext/>
      </w:pPr>
    </w:p>
    <w:p w14:paraId="5B657209" w14:textId="77777777" w:rsidR="003A27D6" w:rsidRDefault="008A6308">
      <w:r>
        <w:t>2,0 g</w:t>
      </w:r>
    </w:p>
    <w:p w14:paraId="5DD4AB58" w14:textId="77777777" w:rsidR="003A27D6" w:rsidRDefault="003A27D6"/>
    <w:p w14:paraId="42BE3446" w14:textId="77777777" w:rsidR="003A27D6" w:rsidRDefault="003A27D6"/>
    <w:p w14:paraId="15E82B16" w14:textId="77777777" w:rsidR="003A27D6" w:rsidRDefault="008A6308">
      <w:pPr>
        <w:pStyle w:val="Heading1LAB"/>
      </w:pPr>
      <w:r>
        <w:t>6.</w:t>
      </w:r>
      <w:r>
        <w:tab/>
        <w:t>MUUTA</w:t>
      </w:r>
    </w:p>
    <w:p w14:paraId="06C9B3AD" w14:textId="77777777" w:rsidR="003A27D6" w:rsidRDefault="003A27D6">
      <w:pPr>
        <w:keepNext/>
      </w:pPr>
    </w:p>
    <w:p w14:paraId="02FEAEAC" w14:textId="77777777" w:rsidR="003A27D6" w:rsidRDefault="008A6308">
      <w:r>
        <w:t>2</w:t>
      </w:r>
    </w:p>
    <w:p w14:paraId="7F7FA026" w14:textId="77777777" w:rsidR="003A27D6" w:rsidRDefault="003A27D6"/>
    <w:p w14:paraId="5E2FBD54" w14:textId="77777777" w:rsidR="003A27D6" w:rsidRDefault="008A6308">
      <w:pPr>
        <w:rPr>
          <w:highlight w:val="lightGray"/>
        </w:rPr>
      </w:pPr>
      <w:r>
        <w:rPr>
          <w:shd w:val="pct15" w:color="auto" w:fill="FFFFFF"/>
        </w:rPr>
        <w:t>Ohjeet kääntöpuolella.</w:t>
      </w:r>
    </w:p>
    <w:p w14:paraId="687F2318" w14:textId="77777777" w:rsidR="003A27D6" w:rsidRDefault="003A27D6"/>
    <w:p w14:paraId="707238EA" w14:textId="77777777" w:rsidR="003A27D6" w:rsidRDefault="008A6308">
      <w:r>
        <w:t>Annospussi 2/2. Käytä viimeisenä.</w:t>
      </w:r>
    </w:p>
    <w:p w14:paraId="68FE6A1B" w14:textId="77777777" w:rsidR="003A27D6" w:rsidRDefault="003A27D6"/>
    <w:p w14:paraId="03398CD1" w14:textId="774C6F2E" w:rsidR="003A27D6" w:rsidRDefault="00421E0E">
      <w:r>
        <w:t>Bavarian Nordic A/S</w:t>
      </w:r>
      <w:r w:rsidR="008A6308">
        <w:br w:type="page"/>
      </w:r>
    </w:p>
    <w:p w14:paraId="51DBDCD5" w14:textId="77777777" w:rsidR="003A27D6" w:rsidRDefault="003A27D6"/>
    <w:p w14:paraId="7AB3A5FA" w14:textId="77777777" w:rsidR="003A27D6" w:rsidRDefault="008A6308">
      <w:pPr>
        <w:pStyle w:val="HeadingStrLAB"/>
      </w:pPr>
      <w:r>
        <w:t>PIENISSÄ SISÄPAKKAUKSISSA ON OLTAVA VÄHINTÄÄN SEURAAVAT MERKINNÄT</w:t>
      </w:r>
    </w:p>
    <w:p w14:paraId="58F36D6B" w14:textId="77777777" w:rsidR="003A27D6" w:rsidRDefault="003A27D6">
      <w:pPr>
        <w:pStyle w:val="HeadingStrLAB"/>
      </w:pPr>
    </w:p>
    <w:p w14:paraId="0DB9769E" w14:textId="77777777" w:rsidR="003A27D6" w:rsidRDefault="008A6308">
      <w:pPr>
        <w:pStyle w:val="HeadingStrLAB"/>
      </w:pPr>
      <w:r>
        <w:t>Annospussi</w:t>
      </w:r>
    </w:p>
    <w:p w14:paraId="1F084F96" w14:textId="77777777" w:rsidR="003A27D6" w:rsidRDefault="003A27D6">
      <w:pPr>
        <w:keepNext/>
      </w:pPr>
    </w:p>
    <w:p w14:paraId="1CE1EC36" w14:textId="77777777" w:rsidR="003A27D6" w:rsidRDefault="003A27D6"/>
    <w:p w14:paraId="222F885E" w14:textId="77777777" w:rsidR="003A27D6" w:rsidRDefault="008A6308">
      <w:pPr>
        <w:pStyle w:val="Heading1LAB"/>
      </w:pPr>
      <w:r>
        <w:t>1.</w:t>
      </w:r>
      <w:r>
        <w:tab/>
        <w:t>LÄÄKEVALMISTEEN NIMI JA TARVITTAESSA ANTOREITTI (ANTOREITIT)</w:t>
      </w:r>
    </w:p>
    <w:p w14:paraId="148F5332" w14:textId="77777777" w:rsidR="003A27D6" w:rsidRDefault="003A27D6">
      <w:pPr>
        <w:keepNext/>
      </w:pPr>
    </w:p>
    <w:p w14:paraId="04F6A548" w14:textId="4A6C6505" w:rsidR="007F3F03" w:rsidRDefault="007F3F03">
      <w:r>
        <w:t>Vaxchora-puskuri</w:t>
      </w:r>
    </w:p>
    <w:p w14:paraId="3269BEEC" w14:textId="796C0656" w:rsidR="007F3F03" w:rsidRDefault="007F3F03">
      <w:r>
        <w:t>porejauhe</w:t>
      </w:r>
    </w:p>
    <w:p w14:paraId="59775EDC" w14:textId="1185B254" w:rsidR="003A27D6" w:rsidRDefault="008A6308">
      <w:r>
        <w:t>Natriumvetykarbonaatti</w:t>
      </w:r>
    </w:p>
    <w:p w14:paraId="537EF284" w14:textId="77777777" w:rsidR="003A27D6" w:rsidRDefault="008A6308">
      <w:r>
        <w:t>Suun kautta</w:t>
      </w:r>
    </w:p>
    <w:p w14:paraId="482A8E90" w14:textId="77777777" w:rsidR="003A27D6" w:rsidRDefault="003A27D6"/>
    <w:p w14:paraId="23AC17A3" w14:textId="77777777" w:rsidR="003A27D6" w:rsidRDefault="003A27D6"/>
    <w:p w14:paraId="1C137C38" w14:textId="77777777" w:rsidR="003A27D6" w:rsidRDefault="008A6308">
      <w:pPr>
        <w:pStyle w:val="Heading1LAB"/>
      </w:pPr>
      <w:r>
        <w:t>2.</w:t>
      </w:r>
      <w:r>
        <w:tab/>
        <w:t>ANTOTAPA</w:t>
      </w:r>
    </w:p>
    <w:p w14:paraId="32912612" w14:textId="77777777" w:rsidR="003A27D6" w:rsidRDefault="003A27D6">
      <w:pPr>
        <w:keepNext/>
      </w:pPr>
    </w:p>
    <w:p w14:paraId="056E3D16" w14:textId="14477127" w:rsidR="003A27D6" w:rsidRDefault="008A6308">
      <w:r>
        <w:t>Sekoitetaan pullotetun veden ja Vaxchoran vaikuttavan aineen kanssa.</w:t>
      </w:r>
    </w:p>
    <w:p w14:paraId="712A1F79" w14:textId="77777777" w:rsidR="003A27D6" w:rsidRDefault="008A6308">
      <w:r>
        <w:t>Lue pakkausseloste ennen käyttöä, etenkin käytettäessä 2 – &lt; 6-vuotiaille lapsille, sillä valmistusvaiheet ovat erilaiset.</w:t>
      </w:r>
    </w:p>
    <w:p w14:paraId="780664C8" w14:textId="77777777" w:rsidR="003A27D6" w:rsidRDefault="003A27D6"/>
    <w:p w14:paraId="2855485D" w14:textId="77777777" w:rsidR="003A27D6" w:rsidRDefault="003A27D6"/>
    <w:p w14:paraId="6AC5ED6D" w14:textId="77777777" w:rsidR="003A27D6" w:rsidRDefault="008A6308">
      <w:pPr>
        <w:pStyle w:val="Heading1LAB"/>
      </w:pPr>
      <w:r>
        <w:t>3.</w:t>
      </w:r>
      <w:r>
        <w:tab/>
        <w:t>VIIMEINEN KÄYTTÖPÄIVÄMÄÄRÄ</w:t>
      </w:r>
    </w:p>
    <w:p w14:paraId="4632600A" w14:textId="77777777" w:rsidR="003A27D6" w:rsidRDefault="003A27D6">
      <w:pPr>
        <w:keepNext/>
      </w:pPr>
    </w:p>
    <w:p w14:paraId="159B39C6" w14:textId="77777777" w:rsidR="003A27D6" w:rsidRDefault="008A6308">
      <w:r>
        <w:t>EXP</w:t>
      </w:r>
    </w:p>
    <w:p w14:paraId="7F04281C" w14:textId="77777777" w:rsidR="003A27D6" w:rsidRDefault="003A27D6"/>
    <w:p w14:paraId="5D83A970" w14:textId="77777777" w:rsidR="003A27D6" w:rsidRDefault="003A27D6"/>
    <w:p w14:paraId="1F0823DA" w14:textId="77777777" w:rsidR="003A27D6" w:rsidRDefault="008A6308">
      <w:pPr>
        <w:pStyle w:val="Heading1LAB"/>
      </w:pPr>
      <w:r>
        <w:t>4.</w:t>
      </w:r>
      <w:r>
        <w:tab/>
        <w:t>ERÄNUMERO</w:t>
      </w:r>
    </w:p>
    <w:p w14:paraId="165426D5" w14:textId="77777777" w:rsidR="003A27D6" w:rsidRDefault="003A27D6">
      <w:pPr>
        <w:keepNext/>
      </w:pPr>
    </w:p>
    <w:p w14:paraId="35627B8B" w14:textId="77777777" w:rsidR="003A27D6" w:rsidRDefault="008A6308">
      <w:r>
        <w:t>Lot</w:t>
      </w:r>
    </w:p>
    <w:p w14:paraId="1E2A45E3" w14:textId="77777777" w:rsidR="003A27D6" w:rsidRDefault="003A27D6"/>
    <w:p w14:paraId="56C7C664" w14:textId="77777777" w:rsidR="003A27D6" w:rsidRDefault="003A27D6"/>
    <w:p w14:paraId="4912DB9F" w14:textId="77777777" w:rsidR="003A27D6" w:rsidRDefault="008A6308">
      <w:pPr>
        <w:pStyle w:val="Heading1LAB"/>
      </w:pPr>
      <w:r>
        <w:t>5.</w:t>
      </w:r>
      <w:r>
        <w:tab/>
        <w:t>SISÄLLÖN MÄÄRÄ PAINONA, TILAVUUTENA TAI YKSIKKÖINÄ</w:t>
      </w:r>
    </w:p>
    <w:p w14:paraId="73802ED0" w14:textId="77777777" w:rsidR="003A27D6" w:rsidRDefault="003A27D6">
      <w:pPr>
        <w:keepNext/>
      </w:pPr>
    </w:p>
    <w:p w14:paraId="1790C96A" w14:textId="77777777" w:rsidR="003A27D6" w:rsidRDefault="008A6308">
      <w:r>
        <w:t>4,5 g</w:t>
      </w:r>
    </w:p>
    <w:p w14:paraId="288BB80F" w14:textId="77777777" w:rsidR="003A27D6" w:rsidRDefault="003A27D6"/>
    <w:p w14:paraId="1320D50B" w14:textId="77777777" w:rsidR="003A27D6" w:rsidRDefault="003A27D6"/>
    <w:p w14:paraId="6D99C64F" w14:textId="77777777" w:rsidR="003A27D6" w:rsidRDefault="008A6308">
      <w:pPr>
        <w:pStyle w:val="Heading1LAB"/>
      </w:pPr>
      <w:r>
        <w:t>6.</w:t>
      </w:r>
      <w:r>
        <w:tab/>
        <w:t>MUUTA</w:t>
      </w:r>
    </w:p>
    <w:p w14:paraId="3F59B132" w14:textId="77777777" w:rsidR="003A27D6" w:rsidRDefault="003A27D6">
      <w:pPr>
        <w:keepNext/>
      </w:pPr>
    </w:p>
    <w:p w14:paraId="6EEFA59A" w14:textId="77777777" w:rsidR="003A27D6" w:rsidRDefault="008A6308">
      <w:r>
        <w:t>1</w:t>
      </w:r>
    </w:p>
    <w:p w14:paraId="7AB0E7FF" w14:textId="77777777" w:rsidR="003A27D6" w:rsidRDefault="003A27D6"/>
    <w:p w14:paraId="6FC126EE" w14:textId="77777777" w:rsidR="003A27D6" w:rsidRDefault="008A6308">
      <w:pPr>
        <w:rPr>
          <w:highlight w:val="lightGray"/>
        </w:rPr>
      </w:pPr>
      <w:r>
        <w:rPr>
          <w:shd w:val="pct15" w:color="auto" w:fill="FFFFFF"/>
        </w:rPr>
        <w:t>Ohjeet kääntöpuolella.</w:t>
      </w:r>
    </w:p>
    <w:p w14:paraId="5FFF7E0E" w14:textId="77777777" w:rsidR="003A27D6" w:rsidRDefault="003A27D6"/>
    <w:p w14:paraId="6793DA31" w14:textId="77777777" w:rsidR="003A27D6" w:rsidRPr="00897BC7" w:rsidRDefault="008A6308">
      <w:r>
        <w:t xml:space="preserve">Annospussi 1/2. </w:t>
      </w:r>
      <w:r w:rsidRPr="00897BC7">
        <w:t>Käytä ensin.</w:t>
      </w:r>
    </w:p>
    <w:p w14:paraId="2E26745A" w14:textId="77777777" w:rsidR="003A27D6" w:rsidRPr="00897BC7" w:rsidRDefault="003A27D6"/>
    <w:p w14:paraId="043B1A43" w14:textId="4A523704" w:rsidR="003A27D6" w:rsidRPr="00897BC7" w:rsidRDefault="00421E0E">
      <w:r>
        <w:t>Bavarian Nordic A/S</w:t>
      </w:r>
    </w:p>
    <w:p w14:paraId="6A6B2B05" w14:textId="77777777" w:rsidR="003A27D6" w:rsidRPr="00897BC7" w:rsidRDefault="003A27D6"/>
    <w:p w14:paraId="2C5E3EE0" w14:textId="77777777" w:rsidR="003A27D6" w:rsidRPr="00897BC7" w:rsidRDefault="008A6308">
      <w:r w:rsidRPr="00897BC7">
        <w:br w:type="page"/>
      </w:r>
    </w:p>
    <w:p w14:paraId="369EEBF8" w14:textId="77777777" w:rsidR="003A27D6" w:rsidRPr="00897BC7" w:rsidRDefault="003A27D6"/>
    <w:p w14:paraId="09CF65B5" w14:textId="77777777" w:rsidR="003A27D6" w:rsidRPr="00897BC7" w:rsidRDefault="003A27D6"/>
    <w:p w14:paraId="747D97B5" w14:textId="77777777" w:rsidR="003A27D6" w:rsidRPr="00897BC7" w:rsidRDefault="003A27D6"/>
    <w:p w14:paraId="1131FB7C" w14:textId="77777777" w:rsidR="003A27D6" w:rsidRPr="00897BC7" w:rsidRDefault="003A27D6"/>
    <w:p w14:paraId="458979EC" w14:textId="77777777" w:rsidR="003A27D6" w:rsidRPr="00897BC7" w:rsidRDefault="003A27D6"/>
    <w:p w14:paraId="46171D37" w14:textId="77777777" w:rsidR="003A27D6" w:rsidRPr="00897BC7" w:rsidRDefault="003A27D6"/>
    <w:p w14:paraId="7FC88F95" w14:textId="77777777" w:rsidR="003A27D6" w:rsidRPr="00897BC7" w:rsidRDefault="003A27D6"/>
    <w:p w14:paraId="4C3947B5" w14:textId="77777777" w:rsidR="003A27D6" w:rsidRPr="00897BC7" w:rsidRDefault="003A27D6"/>
    <w:p w14:paraId="4C80B8E7" w14:textId="77777777" w:rsidR="003A27D6" w:rsidRPr="00897BC7" w:rsidRDefault="003A27D6"/>
    <w:p w14:paraId="01426112" w14:textId="77777777" w:rsidR="003A27D6" w:rsidRPr="00897BC7" w:rsidRDefault="003A27D6"/>
    <w:p w14:paraId="6A929946" w14:textId="77777777" w:rsidR="003A27D6" w:rsidRPr="00897BC7" w:rsidRDefault="003A27D6"/>
    <w:p w14:paraId="150EF2F1" w14:textId="77777777" w:rsidR="003A27D6" w:rsidRPr="00897BC7" w:rsidRDefault="003A27D6"/>
    <w:p w14:paraId="798AC4B0" w14:textId="77777777" w:rsidR="003A27D6" w:rsidRPr="00897BC7" w:rsidRDefault="003A27D6"/>
    <w:p w14:paraId="5BA89C88" w14:textId="77777777" w:rsidR="003A27D6" w:rsidRPr="00897BC7" w:rsidRDefault="003A27D6"/>
    <w:p w14:paraId="6E89EC56" w14:textId="77777777" w:rsidR="003A27D6" w:rsidRPr="00897BC7" w:rsidRDefault="003A27D6"/>
    <w:p w14:paraId="3C3CA4C4" w14:textId="77777777" w:rsidR="003A27D6" w:rsidRPr="00897BC7" w:rsidRDefault="003A27D6"/>
    <w:p w14:paraId="7D89C10D" w14:textId="77777777" w:rsidR="003A27D6" w:rsidRPr="00897BC7" w:rsidRDefault="003A27D6"/>
    <w:p w14:paraId="28C0055D" w14:textId="77777777" w:rsidR="003A27D6" w:rsidRPr="00897BC7" w:rsidRDefault="003A27D6"/>
    <w:p w14:paraId="699A7B27" w14:textId="77777777" w:rsidR="003A27D6" w:rsidRPr="00897BC7" w:rsidRDefault="003A27D6"/>
    <w:p w14:paraId="6673741D" w14:textId="77777777" w:rsidR="003A27D6" w:rsidRPr="00897BC7" w:rsidRDefault="003A27D6"/>
    <w:p w14:paraId="763A5A6B" w14:textId="77777777" w:rsidR="003A27D6" w:rsidRPr="00897BC7" w:rsidRDefault="003A27D6"/>
    <w:p w14:paraId="37ABAB90" w14:textId="77777777" w:rsidR="003A27D6" w:rsidRPr="00897BC7" w:rsidRDefault="003A27D6"/>
    <w:p w14:paraId="4FE19458" w14:textId="77777777" w:rsidR="003A27D6" w:rsidRPr="00897BC7" w:rsidRDefault="003A27D6"/>
    <w:p w14:paraId="1C04D66D" w14:textId="77777777" w:rsidR="003A27D6" w:rsidRDefault="008A6308">
      <w:pPr>
        <w:pStyle w:val="TitleA"/>
      </w:pPr>
      <w:r>
        <w:t>B. PAKKAUSSELOSTE</w:t>
      </w:r>
      <w:r>
        <w:br w:type="page"/>
      </w:r>
    </w:p>
    <w:p w14:paraId="00A2E101" w14:textId="77777777" w:rsidR="003A27D6" w:rsidRDefault="008A6308">
      <w:pPr>
        <w:pStyle w:val="Title"/>
      </w:pPr>
      <w:r>
        <w:lastRenderedPageBreak/>
        <w:t>Pakkausseloste: Tietoa käyttäjälle</w:t>
      </w:r>
    </w:p>
    <w:p w14:paraId="039E88D5" w14:textId="77777777" w:rsidR="003A27D6" w:rsidRDefault="003A27D6">
      <w:pPr>
        <w:pStyle w:val="Title"/>
      </w:pPr>
    </w:p>
    <w:p w14:paraId="73F3FFF6" w14:textId="77777777" w:rsidR="003A27D6" w:rsidRDefault="008A6308">
      <w:pPr>
        <w:pStyle w:val="Title"/>
      </w:pPr>
      <w:r>
        <w:t>Vaxchora porejauhe ja jauhe oraalisuspensiota varten</w:t>
      </w:r>
    </w:p>
    <w:p w14:paraId="72AF689F" w14:textId="77777777" w:rsidR="003A27D6" w:rsidRDefault="008A6308">
      <w:pPr>
        <w:pStyle w:val="Title"/>
      </w:pPr>
      <w:r>
        <w:t>kolerarokote (rekombinantti, elävä, suun kautta otettava)</w:t>
      </w:r>
    </w:p>
    <w:p w14:paraId="4E4D9E10" w14:textId="77777777" w:rsidR="003A27D6" w:rsidRDefault="003A27D6"/>
    <w:p w14:paraId="6ABE6EFD" w14:textId="77777777" w:rsidR="003A27D6" w:rsidRDefault="008A6308">
      <w:pPr>
        <w:pStyle w:val="HeadingStrong"/>
      </w:pPr>
      <w:r>
        <w:t>Lue tämä pakkausseloste huolellisesti ennen kuin otat tätä rokotetta, sillä se sisältää sinulle tärkeitä tietoja.</w:t>
      </w:r>
    </w:p>
    <w:p w14:paraId="26B4E2E3" w14:textId="77777777" w:rsidR="003A27D6" w:rsidRDefault="008A6308">
      <w:pPr>
        <w:pStyle w:val="Bullet-"/>
        <w:numPr>
          <w:ilvl w:val="0"/>
          <w:numId w:val="2"/>
        </w:numPr>
      </w:pPr>
      <w:r>
        <w:t>Säilytä tämä pakkausseloste. Voit tarvita sitä myöhemmin.</w:t>
      </w:r>
    </w:p>
    <w:p w14:paraId="0470E56D" w14:textId="77777777" w:rsidR="003A27D6" w:rsidRDefault="008A6308">
      <w:pPr>
        <w:pStyle w:val="Bullet-"/>
        <w:numPr>
          <w:ilvl w:val="0"/>
          <w:numId w:val="2"/>
        </w:numPr>
      </w:pPr>
      <w:r>
        <w:t>Jos sinulla on kysyttävää, käänny lääkärin, apteekkihenkilökunnan tai sairaanhoitajan puoleen.</w:t>
      </w:r>
    </w:p>
    <w:p w14:paraId="7A1E3A98" w14:textId="77777777" w:rsidR="003A27D6" w:rsidRDefault="008A6308">
      <w:pPr>
        <w:pStyle w:val="Bullet-"/>
        <w:numPr>
          <w:ilvl w:val="0"/>
          <w:numId w:val="2"/>
        </w:numPr>
      </w:pPr>
      <w:r>
        <w:t>Tämä rokote on määrätty vain sinulle eikä sitä pidä antaa muiden käyttöön.</w:t>
      </w:r>
    </w:p>
    <w:p w14:paraId="74BADBAB" w14:textId="77777777" w:rsidR="003A27D6" w:rsidRDefault="008A6308">
      <w:pPr>
        <w:pStyle w:val="Bullet-"/>
        <w:numPr>
          <w:ilvl w:val="0"/>
          <w:numId w:val="2"/>
        </w:numPr>
      </w:pPr>
      <w:r>
        <w:t>Jos havaitset haittavaikutuksia, kerro niistä lääkärille, apteekkihenkilökunnalle tai sairaanhoitajalle. Tämä koskee myös sellaisia mahdollisia haittavaikutuksia, joita ei ole mainittu tässä pakkausselosteessa. Ks. kohta 4.</w:t>
      </w:r>
    </w:p>
    <w:p w14:paraId="3F8A121A" w14:textId="77777777" w:rsidR="003A27D6" w:rsidRDefault="003A27D6"/>
    <w:p w14:paraId="2EE54756" w14:textId="77777777" w:rsidR="003A27D6" w:rsidRDefault="008A6308">
      <w:pPr>
        <w:pStyle w:val="HeadingStrong"/>
      </w:pPr>
      <w:r>
        <w:t>Tässä pakkausselosteessa kerrotaan:</w:t>
      </w:r>
    </w:p>
    <w:p w14:paraId="2CEE8A8E" w14:textId="77777777" w:rsidR="003A27D6" w:rsidRDefault="003A27D6">
      <w:pPr>
        <w:keepNext/>
      </w:pPr>
    </w:p>
    <w:p w14:paraId="56463B08" w14:textId="77777777" w:rsidR="003A27D6" w:rsidRDefault="008A6308" w:rsidP="002D3A25">
      <w:pPr>
        <w:ind w:left="567" w:hanging="567"/>
      </w:pPr>
      <w:r>
        <w:t>1.</w:t>
      </w:r>
      <w:r>
        <w:tab/>
        <w:t>Mitä Vaxchora on ja mihin sitä käytetään</w:t>
      </w:r>
    </w:p>
    <w:p w14:paraId="5F538CC1" w14:textId="77777777" w:rsidR="003A27D6" w:rsidRDefault="008A6308" w:rsidP="002D3A25">
      <w:pPr>
        <w:ind w:left="567" w:hanging="567"/>
      </w:pPr>
      <w:r>
        <w:t>2.</w:t>
      </w:r>
      <w:r>
        <w:tab/>
        <w:t>Mitä sinun on tiedettävä, ennen kuin otat Vaxchoraa</w:t>
      </w:r>
    </w:p>
    <w:p w14:paraId="234BA2B4" w14:textId="77777777" w:rsidR="003A27D6" w:rsidRDefault="008A6308" w:rsidP="00FE7CE1">
      <w:pPr>
        <w:ind w:left="567" w:hanging="567"/>
      </w:pPr>
      <w:r>
        <w:t>3.</w:t>
      </w:r>
      <w:r>
        <w:tab/>
        <w:t>Miten Vaxchoraa otetaan</w:t>
      </w:r>
    </w:p>
    <w:p w14:paraId="27AD9E05" w14:textId="77777777" w:rsidR="003A27D6" w:rsidRDefault="008A6308" w:rsidP="00FE7CE1">
      <w:pPr>
        <w:ind w:left="567" w:hanging="567"/>
      </w:pPr>
      <w:r>
        <w:t>4.</w:t>
      </w:r>
      <w:r>
        <w:tab/>
        <w:t>Mahdolliset haittavaikutukset</w:t>
      </w:r>
    </w:p>
    <w:p w14:paraId="4A93FC5C" w14:textId="77777777" w:rsidR="003A27D6" w:rsidRDefault="008A6308" w:rsidP="00FE7CE1">
      <w:pPr>
        <w:ind w:left="567" w:hanging="567"/>
      </w:pPr>
      <w:r>
        <w:t>5.</w:t>
      </w:r>
      <w:r>
        <w:tab/>
        <w:t>Vaxchoran säilyttäminen</w:t>
      </w:r>
    </w:p>
    <w:p w14:paraId="2A452765" w14:textId="77777777" w:rsidR="003A27D6" w:rsidRDefault="008A6308" w:rsidP="00FE7CE1">
      <w:pPr>
        <w:ind w:left="567" w:hanging="567"/>
      </w:pPr>
      <w:r>
        <w:t>6.</w:t>
      </w:r>
      <w:r>
        <w:tab/>
        <w:t>Pakkauksen sisältö ja muuta tietoa</w:t>
      </w:r>
    </w:p>
    <w:p w14:paraId="3A051C97" w14:textId="77777777" w:rsidR="003A27D6" w:rsidRDefault="003A27D6"/>
    <w:p w14:paraId="7126B0F5" w14:textId="77777777" w:rsidR="003A27D6" w:rsidRDefault="003A27D6"/>
    <w:p w14:paraId="745F9A9E" w14:textId="77777777" w:rsidR="003A27D6" w:rsidRDefault="008A6308">
      <w:pPr>
        <w:pStyle w:val="Heading1"/>
      </w:pPr>
      <w:r>
        <w:t>1.</w:t>
      </w:r>
      <w:r>
        <w:tab/>
        <w:t>Mitä Vaxchora on ja mihin sitä käytetään</w:t>
      </w:r>
    </w:p>
    <w:p w14:paraId="12BB83BB" w14:textId="77777777" w:rsidR="003A27D6" w:rsidRDefault="003A27D6">
      <w:pPr>
        <w:keepNext/>
      </w:pPr>
    </w:p>
    <w:p w14:paraId="3EB958CD" w14:textId="77777777" w:rsidR="003A27D6" w:rsidRDefault="008A6308">
      <w:r>
        <w:t>Vaxchora on suun kautta otettava kolerarokote, joka herättää suoliston immunologisen puolustuksen. Rokotetta käytetään suojaamaan aikuisia ja 2 vuoden ikäisiä ja vanhempia lapsia koleraa vastaan. Rokote on otettava vähintään 10 päivää ennen koleran esiintymisalueelle matkustamista.</w:t>
      </w:r>
    </w:p>
    <w:p w14:paraId="67908F54" w14:textId="77777777" w:rsidR="003A27D6" w:rsidRDefault="003A27D6"/>
    <w:p w14:paraId="2FD78812" w14:textId="77777777" w:rsidR="003A27D6" w:rsidRPr="00FE7CE1" w:rsidRDefault="008A6308">
      <w:pPr>
        <w:pStyle w:val="HeadingStrong"/>
        <w:rPr>
          <w:b w:val="0"/>
          <w:bCs w:val="0"/>
          <w:i/>
          <w:iCs/>
        </w:rPr>
      </w:pPr>
      <w:r w:rsidRPr="00FE7CE1">
        <w:rPr>
          <w:b w:val="0"/>
          <w:bCs w:val="0"/>
          <w:i/>
          <w:iCs/>
        </w:rPr>
        <w:t>Miten Vaxchora toimii</w:t>
      </w:r>
    </w:p>
    <w:p w14:paraId="7A8BEC5C" w14:textId="77777777" w:rsidR="003A27D6" w:rsidRDefault="003A27D6">
      <w:pPr>
        <w:keepNext/>
      </w:pPr>
    </w:p>
    <w:p w14:paraId="64F76CBF" w14:textId="77777777" w:rsidR="003A27D6" w:rsidRDefault="008A6308">
      <w:r>
        <w:t>Vaxchora saa immuunijärjestelmän (elimistön puolustusjärjestelmän) puolustautumaan koleralta. Rokotteen ottamisen jälkeen immuunijärjestelmä muodostaa vasta-aineiksi kutsuttuja proteiineja ripulia aiheuttavaa kolerabakteeria ja sen toksiinia (haitallista ainetta) vastaan. Tällöin immuunijärjestelmä pystyy torjumaan kolerabakteereja, jos rokotettu altistuu niille.</w:t>
      </w:r>
    </w:p>
    <w:p w14:paraId="0313C7D0" w14:textId="77777777" w:rsidR="003A27D6" w:rsidRDefault="003A27D6"/>
    <w:p w14:paraId="28E523AC" w14:textId="77777777" w:rsidR="003A27D6" w:rsidRDefault="003A27D6"/>
    <w:p w14:paraId="79963E4C" w14:textId="77777777" w:rsidR="003A27D6" w:rsidRDefault="008A6308">
      <w:pPr>
        <w:pStyle w:val="Heading1"/>
      </w:pPr>
      <w:r>
        <w:t>2.</w:t>
      </w:r>
      <w:r>
        <w:tab/>
        <w:t>Mitä sinun on tiedettävä, ennen kuin otat Vaxchoraa</w:t>
      </w:r>
    </w:p>
    <w:p w14:paraId="13E0DF06" w14:textId="77777777" w:rsidR="003A27D6" w:rsidRDefault="003A27D6">
      <w:pPr>
        <w:keepNext/>
      </w:pPr>
    </w:p>
    <w:p w14:paraId="34D8B4EF" w14:textId="77777777" w:rsidR="003A27D6" w:rsidRDefault="008A6308">
      <w:pPr>
        <w:pStyle w:val="HeadingStrong"/>
      </w:pPr>
      <w:r>
        <w:t>Älä ota Vaxchoraa</w:t>
      </w:r>
    </w:p>
    <w:p w14:paraId="78A200CC" w14:textId="77777777" w:rsidR="003A27D6" w:rsidRDefault="008A6308">
      <w:pPr>
        <w:pStyle w:val="Bullet-"/>
        <w:numPr>
          <w:ilvl w:val="0"/>
          <w:numId w:val="2"/>
        </w:numPr>
        <w:ind w:left="567" w:hanging="567"/>
      </w:pPr>
      <w:r>
        <w:t>jos olet allerginen tämän lääkkeen jollekin aineelle (lueteltu kohdassa 6).</w:t>
      </w:r>
    </w:p>
    <w:p w14:paraId="43D90CA7" w14:textId="77777777" w:rsidR="003A27D6" w:rsidRDefault="008A6308">
      <w:pPr>
        <w:pStyle w:val="Bullet-"/>
        <w:numPr>
          <w:ilvl w:val="0"/>
          <w:numId w:val="2"/>
        </w:numPr>
        <w:ind w:left="567" w:hanging="567"/>
      </w:pPr>
      <w:r>
        <w:t>jos immuunijärjestelmäsi on heikko, esimerkiksi jos sinulla on ollut syntymästä asti heikko immuunijärjestelmä tai jos saat esimerkiksi suuriannoksista kortikosteroidihoitoa, syöpälääkkeitä tai sädehoitoa, sillä ne voivat heikentää immuunijärjestelmää.</w:t>
      </w:r>
    </w:p>
    <w:p w14:paraId="78C73F5A" w14:textId="77777777" w:rsidR="003A27D6" w:rsidRDefault="003A27D6"/>
    <w:p w14:paraId="0ED653FD" w14:textId="77777777" w:rsidR="003A27D6" w:rsidRDefault="008A6308">
      <w:pPr>
        <w:pStyle w:val="HeadingStrong"/>
      </w:pPr>
      <w:r>
        <w:t>Varoitukset ja varotoimet</w:t>
      </w:r>
    </w:p>
    <w:p w14:paraId="4F60C0CA" w14:textId="77777777" w:rsidR="003A27D6" w:rsidRDefault="008A6308">
      <w:r>
        <w:t>Keskustele lääkärin, apteekkihenkilökunnan tai sairaanhoitajan kanssa ennen kuin otat Vaxchoraa.</w:t>
      </w:r>
    </w:p>
    <w:p w14:paraId="4DD0E1D8" w14:textId="77777777" w:rsidR="003A27D6" w:rsidRDefault="003A27D6"/>
    <w:p w14:paraId="78DBBBAD" w14:textId="77777777" w:rsidR="002D3A25" w:rsidRDefault="002D3A25" w:rsidP="002D3A25">
      <w:r>
        <w:t>Ota välittömästi yhteys lääkäriin, jos sinulla esiintyy seuraavia vakavia haittavaikutuksia:</w:t>
      </w:r>
    </w:p>
    <w:p w14:paraId="20BBE08C" w14:textId="77777777" w:rsidR="002D3A25" w:rsidRDefault="002D3A25" w:rsidP="00FE7CE1">
      <w:pPr>
        <w:pStyle w:val="Bullet"/>
        <w:numPr>
          <w:ilvl w:val="0"/>
          <w:numId w:val="1"/>
        </w:numPr>
        <w:ind w:left="567" w:hanging="567"/>
      </w:pPr>
      <w:r>
        <w:t>vakavat allergiset reaktiot, jotka voivat aiheuttaa kasvojen tai nielun turvotusta, nokkosihottumaa, kutisevaa ihottumaa, hengenahdistusta ja/tai verenpaineen laskua ja pyörtymisen.</w:t>
      </w:r>
    </w:p>
    <w:p w14:paraId="1B0F483E" w14:textId="77777777" w:rsidR="002D3A25" w:rsidRDefault="002D3A25"/>
    <w:p w14:paraId="7C129796" w14:textId="7F46F4A5" w:rsidR="002D3A25" w:rsidRDefault="002D3A25">
      <w:r>
        <w:t xml:space="preserve">Jos sinulla esiintyy pahoinvointia, oksentelua, ripulia tai vatsakipua joko yksinään tai yhdistelmänä, keskustele lääkärin, apteekkihenkilökunnan tai sairaanhoitajan kanssa ennen rokotteen ottamista. </w:t>
      </w:r>
      <w:r>
        <w:lastRenderedPageBreak/>
        <w:t>Rokotteen ottamista on lykättävä, kunnes olet toipunut, koska suoja koleraa vastaan voi olla heikentynyt.</w:t>
      </w:r>
    </w:p>
    <w:p w14:paraId="3130C5C3" w14:textId="77777777" w:rsidR="002D3A25" w:rsidRDefault="002D3A25"/>
    <w:p w14:paraId="6174FADA" w14:textId="04A35781" w:rsidR="003A27D6" w:rsidRDefault="002D3A25">
      <w:r>
        <w:t>Tämä r</w:t>
      </w:r>
      <w:r w:rsidR="008A6308">
        <w:t>okote ei välttämättä anna täydellistä suojaa koleraa vastaan. On tärkeää, että noudatat jatkossakin hygieniaohjeita ja suhtaudut erityisen varovasti ruoan ja juoman nauttimiseen koleran esiintymisalueilla.</w:t>
      </w:r>
    </w:p>
    <w:p w14:paraId="5FC85FCD" w14:textId="77777777" w:rsidR="003A27D6" w:rsidRDefault="003A27D6"/>
    <w:p w14:paraId="251016D0" w14:textId="096096D4" w:rsidR="003A27D6" w:rsidRDefault="002D3A25">
      <w:r>
        <w:t xml:space="preserve">Tämän rokotteen </w:t>
      </w:r>
      <w:r w:rsidR="008A6308">
        <w:t>teho voi jäädä heikommaksi, jos sinulla on HIV-infektio.</w:t>
      </w:r>
    </w:p>
    <w:p w14:paraId="7547ED25" w14:textId="77777777" w:rsidR="003A27D6" w:rsidRDefault="003A27D6"/>
    <w:p w14:paraId="63619E7F" w14:textId="12991271" w:rsidR="003A27D6" w:rsidRDefault="008A6308">
      <w:r>
        <w:t>Rokotteen sisältämiä bakteereja voi esiintyä ulosteessasi vähintään 7</w:t>
      </w:r>
      <w:r w:rsidR="001B613F">
        <w:t> </w:t>
      </w:r>
      <w:r>
        <w:t>vuorokauden ajan rokotteen ottamisen jälkeen. Tartuntojen estämiseksi pese kädet perusteellisesti käytyäsi WC: ssä, vaihtaessasi vaipan ja ennen kuin ryhdyt laittamaan ruokaa ainakin 14</w:t>
      </w:r>
      <w:r w:rsidR="001B613F">
        <w:t> </w:t>
      </w:r>
      <w:r>
        <w:t xml:space="preserve">vuorokauden ajan </w:t>
      </w:r>
      <w:r w:rsidR="00686703">
        <w:t xml:space="preserve">tämän rokotteen </w:t>
      </w:r>
      <w:r>
        <w:t>ottamisen jälkeen.</w:t>
      </w:r>
    </w:p>
    <w:p w14:paraId="330A6A4B" w14:textId="77777777" w:rsidR="003A27D6" w:rsidRDefault="003A27D6"/>
    <w:p w14:paraId="319C9843" w14:textId="77777777" w:rsidR="003A27D6" w:rsidRDefault="008A6308">
      <w:pPr>
        <w:pStyle w:val="HeadingStrong"/>
      </w:pPr>
      <w:r>
        <w:t>Lapset ja nuoret</w:t>
      </w:r>
    </w:p>
    <w:p w14:paraId="5F8A1416" w14:textId="15652B1B" w:rsidR="003A27D6" w:rsidRDefault="008A6308">
      <w:r>
        <w:t>Tätä rokotetta ei saa antaa alle 2</w:t>
      </w:r>
      <w:r w:rsidR="001B613F">
        <w:t> </w:t>
      </w:r>
      <w:r>
        <w:t>vuoden ikäisille lapsille, sillä ei tiedetä, miten tehokas se on tässä ikäryhmässä.</w:t>
      </w:r>
    </w:p>
    <w:p w14:paraId="4F317059" w14:textId="77777777" w:rsidR="003A27D6" w:rsidRDefault="003A27D6"/>
    <w:p w14:paraId="36AFF6CD" w14:textId="77777777" w:rsidR="003A27D6" w:rsidRDefault="008A6308">
      <w:pPr>
        <w:pStyle w:val="HeadingStrong"/>
      </w:pPr>
      <w:r>
        <w:t>Muut lääkevalmisteet ja Vaxchora</w:t>
      </w:r>
    </w:p>
    <w:p w14:paraId="179BE29A" w14:textId="65336B2C" w:rsidR="003A27D6" w:rsidRDefault="008A6308">
      <w:r>
        <w:t xml:space="preserve">Kerro lääkärille, apteekkihenkilökunnalle tai sairaanhoitajalle, jos parhaillaan otat, olet äskettäin ottanut tai saatat ottaa muita lääkkeitä. Tämä koskee myös ilman lääkemääräystä saatavia lääkkeitä, rohdosvalmisteet mukaan lukien. Tämä johtuu siitä, että </w:t>
      </w:r>
      <w:r w:rsidR="0012566C">
        <w:t xml:space="preserve">tämä rokote </w:t>
      </w:r>
      <w:r>
        <w:t>saattaa vaikuttaa joidenkin muiden lääkkeiden ja rokotteiden toimintaan.</w:t>
      </w:r>
    </w:p>
    <w:p w14:paraId="5250F666" w14:textId="77777777" w:rsidR="003A27D6" w:rsidRDefault="003A27D6"/>
    <w:p w14:paraId="070999B3" w14:textId="77777777" w:rsidR="003A27D6" w:rsidRDefault="008A6308">
      <w:r>
        <w:t>Kerro lääkärille, apteekkihenkilökunnalle tai sairaanhoitajille etenkin seuraavien käytöstä:</w:t>
      </w:r>
    </w:p>
    <w:p w14:paraId="165A180F" w14:textId="0C340AAF" w:rsidR="003A27D6" w:rsidRDefault="008A6308" w:rsidP="00FE7CE1">
      <w:pPr>
        <w:pStyle w:val="Bullet"/>
        <w:numPr>
          <w:ilvl w:val="0"/>
          <w:numId w:val="6"/>
        </w:numPr>
      </w:pPr>
      <w:r>
        <w:t xml:space="preserve">antibiootit – </w:t>
      </w:r>
      <w:r w:rsidR="0012566C">
        <w:t xml:space="preserve">tämä rokote </w:t>
      </w:r>
      <w:r>
        <w:t xml:space="preserve">ei välttämättä toimi oikein, jos käytät samanaikaisesti antibiootteja. </w:t>
      </w:r>
      <w:r w:rsidR="0012566C">
        <w:t xml:space="preserve">Tämän rokotteen </w:t>
      </w:r>
      <w:r>
        <w:t>saa ottaa aikaisintaan 14</w:t>
      </w:r>
      <w:r w:rsidR="001B613F">
        <w:t> </w:t>
      </w:r>
      <w:r>
        <w:t>vuorokauden kuluttua viimeisen antibioottiannoksen ottamisesta. Vältä antibioottien käyttöä 10</w:t>
      </w:r>
      <w:r w:rsidR="001B613F">
        <w:t> </w:t>
      </w:r>
      <w:r>
        <w:t xml:space="preserve">vuorokauden ajan </w:t>
      </w:r>
      <w:r w:rsidR="0012566C">
        <w:t xml:space="preserve">tämän rokotteen </w:t>
      </w:r>
      <w:r>
        <w:t>ottamisen jälkeen.</w:t>
      </w:r>
    </w:p>
    <w:p w14:paraId="1959BB7D" w14:textId="2160A1EB" w:rsidR="003A27D6" w:rsidRDefault="008A6308" w:rsidP="00FE7CE1">
      <w:pPr>
        <w:pStyle w:val="Bullet"/>
        <w:numPr>
          <w:ilvl w:val="0"/>
          <w:numId w:val="6"/>
        </w:numPr>
      </w:pPr>
      <w:r>
        <w:t xml:space="preserve">klorokiini, jota käytetään malarian estohoitoon – </w:t>
      </w:r>
      <w:r w:rsidR="0012566C">
        <w:t xml:space="preserve">tämä rokote </w:t>
      </w:r>
      <w:r>
        <w:t xml:space="preserve">ei välttämättä toimi oikein, jos käytät samanaikaisesti klorokiinia. Ota </w:t>
      </w:r>
      <w:r w:rsidR="0012566C">
        <w:t xml:space="preserve">tämä rokote </w:t>
      </w:r>
      <w:r>
        <w:t>vähintään 10</w:t>
      </w:r>
      <w:r w:rsidR="001B613F">
        <w:t> </w:t>
      </w:r>
      <w:r>
        <w:t>vuorokautta ennen klorokiinihoidon aloittamista tai 14</w:t>
      </w:r>
      <w:r w:rsidR="001B613F">
        <w:t> </w:t>
      </w:r>
      <w:r>
        <w:t>vuorokautta klorokiinin ottamisen jälkeen.</w:t>
      </w:r>
    </w:p>
    <w:p w14:paraId="227A5B31" w14:textId="4312813F" w:rsidR="003A27D6" w:rsidRDefault="008A6308" w:rsidP="00FE7CE1">
      <w:pPr>
        <w:pStyle w:val="Bullet"/>
        <w:numPr>
          <w:ilvl w:val="0"/>
          <w:numId w:val="6"/>
        </w:numPr>
      </w:pPr>
      <w:r>
        <w:t xml:space="preserve">Ty21a-lavantautirokote – </w:t>
      </w:r>
      <w:r w:rsidR="0012566C">
        <w:t xml:space="preserve">tämä rokote </w:t>
      </w:r>
      <w:r>
        <w:t xml:space="preserve">ei välttämättä toimi oikein, jos se otetaan samanaikaisesti Ty21a-rokotteen kanssa. </w:t>
      </w:r>
      <w:r w:rsidR="0012566C">
        <w:t xml:space="preserve">Tämä rokote </w:t>
      </w:r>
      <w:r>
        <w:t>tulee ottaa viimeistään 2 tuntia ennen Ty21a-rokotteen ottamista tai aikaisintaan 2 tuntia sen jälkeen.</w:t>
      </w:r>
    </w:p>
    <w:p w14:paraId="4B0923CB" w14:textId="77777777" w:rsidR="003A27D6" w:rsidRDefault="003A27D6"/>
    <w:p w14:paraId="38AEF70B" w14:textId="37F51F09" w:rsidR="003A27D6" w:rsidRDefault="008A6308">
      <w:r>
        <w:t xml:space="preserve">Jos jokin edellä mainituista koskee sinua, keskustele lääkärin, apteekkihenkilökunnan tai sairaanhoitajan kanssa ennen kuin otat </w:t>
      </w:r>
      <w:r w:rsidR="0012566C">
        <w:t>tätä rokotetta</w:t>
      </w:r>
      <w:r>
        <w:t>.</w:t>
      </w:r>
    </w:p>
    <w:p w14:paraId="2B4821BC" w14:textId="77777777" w:rsidR="003A27D6" w:rsidRDefault="003A27D6"/>
    <w:p w14:paraId="094300BE" w14:textId="77777777" w:rsidR="003A27D6" w:rsidRDefault="008A6308">
      <w:pPr>
        <w:pStyle w:val="HeadingStrong"/>
      </w:pPr>
      <w:r>
        <w:t>Vaxchora ruuan ja juoman kanssa</w:t>
      </w:r>
    </w:p>
    <w:p w14:paraId="6A802B86" w14:textId="51B46B3E" w:rsidR="003A27D6" w:rsidRDefault="008A6308">
      <w:r>
        <w:t xml:space="preserve">Älä syö tai juo mitään 60 minuuttiin ennen </w:t>
      </w:r>
      <w:r w:rsidR="0012566C">
        <w:t xml:space="preserve">tämän rokotteen </w:t>
      </w:r>
      <w:r>
        <w:t>ottamista ja 60 minuuttiin sen jälkeen, sillä ruoka ja juoma saattavat heikentää rokotteen tehoa.</w:t>
      </w:r>
    </w:p>
    <w:p w14:paraId="52129DDA" w14:textId="77777777" w:rsidR="003A27D6" w:rsidRDefault="003A27D6"/>
    <w:p w14:paraId="2F3E9CCC" w14:textId="77777777" w:rsidR="003A27D6" w:rsidRDefault="008A6308">
      <w:pPr>
        <w:pStyle w:val="HeadingStrong"/>
      </w:pPr>
      <w:r>
        <w:t>Raskaus, imetys ja hedelmällisyys</w:t>
      </w:r>
    </w:p>
    <w:p w14:paraId="10120778" w14:textId="77777777" w:rsidR="003A27D6" w:rsidRDefault="008A6308">
      <w:r>
        <w:t>Jos olet raskaana tai imetät, epäilet olevasi raskaana tai jos suunnittelet lapsen hankkimista, kysy lääkäriltä tai apteekista neuvoa ennen tämän lääkkeen käyttöä.</w:t>
      </w:r>
    </w:p>
    <w:p w14:paraId="1EB53367" w14:textId="77777777" w:rsidR="003A27D6" w:rsidRDefault="003A27D6"/>
    <w:p w14:paraId="2881C1B9" w14:textId="77777777" w:rsidR="003A27D6" w:rsidRDefault="008A6308">
      <w:pPr>
        <w:pStyle w:val="HeadingStrong"/>
      </w:pPr>
      <w:r>
        <w:t>Ajaminen ja koneiden käyttö</w:t>
      </w:r>
    </w:p>
    <w:p w14:paraId="14F19EBE" w14:textId="6CB9FAB6" w:rsidR="003A27D6" w:rsidRDefault="0012566C">
      <w:r>
        <w:t>Vaxchora-rokotteella ei ole haitallista vaikutusta ajokykyyn ja koneidenkäyttökykyyn. Jotkin kohdassa 4 ”Mahdolliset haittavaikutukset” mainitut vaikutukset saattavat kuitenkin vaikuttaa ajokykyyn ja koneidenkäyttökykyyn tilapäisesti. Älä aja tai käytä koneita, jos voit huonosti rokotuksen jälkeen.</w:t>
      </w:r>
    </w:p>
    <w:p w14:paraId="14638BE9" w14:textId="77777777" w:rsidR="003A27D6" w:rsidRDefault="003A27D6"/>
    <w:p w14:paraId="49FB158D" w14:textId="77777777" w:rsidR="003A27D6" w:rsidRDefault="008A6308">
      <w:pPr>
        <w:pStyle w:val="HeadingStrong"/>
      </w:pPr>
      <w:r>
        <w:t>Vaxchora sisältää laktoosia, sakkaroosia ja natriumia</w:t>
      </w:r>
    </w:p>
    <w:p w14:paraId="4076ACFF" w14:textId="77777777" w:rsidR="003A27D6" w:rsidRDefault="008A6308">
      <w:r>
        <w:t>Jos lääkäri on kertonut, että sinulla on jokin sokeri-intoleranssi, keskustele lääkärisi kanssa ennen tämän lääkevalmisteen ottamista.</w:t>
      </w:r>
    </w:p>
    <w:p w14:paraId="23D78642" w14:textId="77777777" w:rsidR="003A27D6" w:rsidRDefault="003A27D6"/>
    <w:p w14:paraId="1E4660BB" w14:textId="20940321" w:rsidR="003A27D6" w:rsidRDefault="0012566C">
      <w:r>
        <w:lastRenderedPageBreak/>
        <w:t>Tämä r</w:t>
      </w:r>
      <w:r w:rsidR="008A6308">
        <w:t>okote sisältää 863 mg natriumia (ruokasuolan toinen ainesosa) per annos. Tämä vastaa 43</w:t>
      </w:r>
      <w:r w:rsidR="00671040">
        <w:t> </w:t>
      </w:r>
      <w:r w:rsidR="008A6308">
        <w:t>%:a suositellusta natriumin vuorokausiannoksesta aikuiselle. Ota tämä huomioon, jos noudatat vähäsuolaista ruokavaliota.</w:t>
      </w:r>
    </w:p>
    <w:p w14:paraId="0CF995BE" w14:textId="77777777" w:rsidR="003A27D6" w:rsidRDefault="003A27D6"/>
    <w:p w14:paraId="5DF24927" w14:textId="77777777" w:rsidR="003A27D6" w:rsidRDefault="003A27D6"/>
    <w:p w14:paraId="32ED40AD" w14:textId="77777777" w:rsidR="003A27D6" w:rsidRDefault="008A6308">
      <w:pPr>
        <w:pStyle w:val="Heading1"/>
      </w:pPr>
      <w:r>
        <w:t>3.</w:t>
      </w:r>
      <w:r>
        <w:tab/>
        <w:t>Miten Vaxchoraa otetaan</w:t>
      </w:r>
    </w:p>
    <w:p w14:paraId="52D6E8B7" w14:textId="77777777" w:rsidR="003A27D6" w:rsidRDefault="003A27D6"/>
    <w:p w14:paraId="19AA9358" w14:textId="77777777" w:rsidR="003A27D6" w:rsidRDefault="008A6308">
      <w:r>
        <w:t>Ota tätä rokotetta juuri siten kuin lääkäri on määrännyt tai apteekkihenkilökunta tai sairaanhoitaja on neuvonut. Tarkista ohjeet lääkäriltä, apteekista tai sairaanhoitajalta, jos olet epävarma.</w:t>
      </w:r>
    </w:p>
    <w:p w14:paraId="3FE348CC" w14:textId="77777777" w:rsidR="003A27D6" w:rsidRDefault="003A27D6"/>
    <w:p w14:paraId="0D6C8BEF" w14:textId="77777777" w:rsidR="003A27D6" w:rsidRDefault="008A6308">
      <w:r>
        <w:t>Suositeltu annos on molempien pahvikotelossa olevien annospussien sisältö. Huomaa kuitenkin 2 – &lt; 6-vuotiaiden lasten kohdalla rokotteen valmistusohjeiden vaihe 8. Ohjeet on esitetty alla.</w:t>
      </w:r>
    </w:p>
    <w:p w14:paraId="184110CA" w14:textId="77777777" w:rsidR="003A27D6" w:rsidRDefault="003A27D6"/>
    <w:p w14:paraId="132DDB5E" w14:textId="6948D75C" w:rsidR="003A27D6" w:rsidRDefault="008A6308">
      <w:r>
        <w:t>Suoja koleraa vastaan muodostuu 10</w:t>
      </w:r>
      <w:r w:rsidR="001B613F">
        <w:t> </w:t>
      </w:r>
      <w:r>
        <w:t>vuorokauden sisällä Vaxchoran ottamisesta. Lääkäri, apteekkihenkilökunta tai sairaanhoitaja kertoo sinulle, miten kauan ennen matkaa rokote pitää ottaa.</w:t>
      </w:r>
    </w:p>
    <w:p w14:paraId="614571A6" w14:textId="77777777" w:rsidR="003A27D6" w:rsidRDefault="003A27D6"/>
    <w:p w14:paraId="4025D89A" w14:textId="77777777" w:rsidR="003A27D6" w:rsidRDefault="008A6308">
      <w:pPr>
        <w:pStyle w:val="HeadingStrong"/>
      </w:pPr>
      <w:r>
        <w:t>Ohjeet:</w:t>
      </w:r>
    </w:p>
    <w:p w14:paraId="06F369FC" w14:textId="77777777" w:rsidR="003A27D6" w:rsidRDefault="003A27D6"/>
    <w:tbl>
      <w:tblPr>
        <w:tblW w:w="9336" w:type="dxa"/>
        <w:tblLayout w:type="fixed"/>
        <w:tblCellMar>
          <w:top w:w="28" w:type="dxa"/>
          <w:bottom w:w="28" w:type="dxa"/>
        </w:tblCellMar>
        <w:tblLook w:val="04A0" w:firstRow="1" w:lastRow="0" w:firstColumn="1" w:lastColumn="0" w:noHBand="0" w:noVBand="1"/>
      </w:tblPr>
      <w:tblGrid>
        <w:gridCol w:w="1212"/>
        <w:gridCol w:w="3647"/>
        <w:gridCol w:w="4477"/>
      </w:tblGrid>
      <w:tr w:rsidR="00E06BCC" w14:paraId="294D3CF6" w14:textId="77777777" w:rsidTr="00311E89">
        <w:trPr>
          <w:cantSplit/>
          <w:trHeight w:val="2600"/>
        </w:trPr>
        <w:tc>
          <w:tcPr>
            <w:tcW w:w="9336" w:type="dxa"/>
            <w:gridSpan w:val="3"/>
            <w:tcBorders>
              <w:top w:val="single" w:sz="4" w:space="0" w:color="auto"/>
              <w:left w:val="single" w:sz="4" w:space="0" w:color="000000"/>
              <w:bottom w:val="single" w:sz="4" w:space="0" w:color="000000"/>
              <w:right w:val="single" w:sz="4" w:space="0" w:color="auto"/>
            </w:tcBorders>
            <w:shd w:val="clear" w:color="auto" w:fill="auto"/>
          </w:tcPr>
          <w:p w14:paraId="24484D60" w14:textId="77777777" w:rsidR="00E06BCC" w:rsidRDefault="00E06BCC">
            <w:pPr>
              <w:pStyle w:val="HeadingStrong"/>
              <w:jc w:val="center"/>
            </w:pPr>
            <w:r>
              <w:t>VALMISTA TÄMÄ ROKOTE TÄSMÄLLEEN TÄSSÄ PAKKAUSSELOSTEESSA ANNETTUJEN OHJEIDEN MUKAAN</w:t>
            </w:r>
          </w:p>
          <w:p w14:paraId="04CD2B27" w14:textId="77777777" w:rsidR="00E06BCC" w:rsidRDefault="00E06BCC">
            <w:pPr>
              <w:pStyle w:val="NormalKeep"/>
            </w:pPr>
          </w:p>
          <w:p w14:paraId="4DFD3163" w14:textId="77777777" w:rsidR="00E06BCC" w:rsidRDefault="00E06BCC">
            <w:pPr>
              <w:pStyle w:val="HeadingStrong"/>
            </w:pPr>
            <w:r>
              <w:t>Lue seuraavat tiedot ennen kuin aloitat:</w:t>
            </w:r>
          </w:p>
          <w:p w14:paraId="055C81FA" w14:textId="77777777" w:rsidR="00E06BCC" w:rsidRDefault="00E06BCC">
            <w:r>
              <w:t>Vaxchora ei välttämättä toimi oikein seuraavissa tilanteissa:</w:t>
            </w:r>
          </w:p>
          <w:p w14:paraId="48F31396" w14:textId="77607F5F" w:rsidR="00E06BCC" w:rsidRDefault="00E06BCC">
            <w:pPr>
              <w:pStyle w:val="Bullet"/>
              <w:numPr>
                <w:ilvl w:val="0"/>
                <w:numId w:val="1"/>
              </w:numPr>
              <w:ind w:left="1701" w:hanging="567"/>
              <w:rPr>
                <w:b/>
              </w:rPr>
            </w:pPr>
            <w:r>
              <w:t>Rokotetta on säilytetty väärin. Rokote on säilytettävä jääkaapissa</w:t>
            </w:r>
            <w:r w:rsidR="0012566C">
              <w:t xml:space="preserve"> </w:t>
            </w:r>
            <w:r w:rsidR="0012566C" w:rsidRPr="009E4B2F">
              <w:rPr>
                <w:noProof/>
              </w:rPr>
              <w:t>(2</w:t>
            </w:r>
            <w:r w:rsidR="0012566C" w:rsidRPr="009E4B2F">
              <w:rPr>
                <w:rFonts w:ascii="Symbol" w:eastAsia="Symbol" w:hAnsi="Symbol" w:cs="Symbol"/>
                <w:noProof/>
              </w:rPr>
              <w:t></w:t>
            </w:r>
            <w:r w:rsidR="0012566C" w:rsidRPr="009E4B2F">
              <w:rPr>
                <w:noProof/>
              </w:rPr>
              <w:t>C</w:t>
            </w:r>
            <w:r w:rsidR="001B613F">
              <w:rPr>
                <w:noProof/>
              </w:rPr>
              <w:t> </w:t>
            </w:r>
            <w:r w:rsidR="0012566C" w:rsidRPr="009E4B2F">
              <w:rPr>
                <w:noProof/>
              </w:rPr>
              <w:t>–</w:t>
            </w:r>
            <w:r w:rsidR="001B613F">
              <w:rPr>
                <w:noProof/>
              </w:rPr>
              <w:t> </w:t>
            </w:r>
            <w:r w:rsidR="0012566C" w:rsidRPr="009E4B2F">
              <w:rPr>
                <w:noProof/>
              </w:rPr>
              <w:t>8</w:t>
            </w:r>
            <w:r w:rsidR="0012566C" w:rsidRPr="009E4B2F">
              <w:rPr>
                <w:rFonts w:ascii="Symbol" w:eastAsia="Symbol" w:hAnsi="Symbol" w:cs="Symbol"/>
                <w:noProof/>
              </w:rPr>
              <w:t></w:t>
            </w:r>
            <w:r w:rsidR="0012566C" w:rsidRPr="009E4B2F">
              <w:rPr>
                <w:noProof/>
              </w:rPr>
              <w:t>C)</w:t>
            </w:r>
            <w:r>
              <w:t>.</w:t>
            </w:r>
          </w:p>
          <w:p w14:paraId="30432B13" w14:textId="77777777" w:rsidR="00E06BCC" w:rsidRDefault="00E06BCC">
            <w:pPr>
              <w:pStyle w:val="Bullet"/>
              <w:numPr>
                <w:ilvl w:val="0"/>
                <w:numId w:val="1"/>
              </w:numPr>
              <w:ind w:left="1701" w:hanging="567"/>
              <w:rPr>
                <w:b/>
              </w:rPr>
            </w:pPr>
            <w:r>
              <w:t>Käytetty vesimäärä ei ole oikea. Vettä on käytettävä 100 ml.</w:t>
            </w:r>
          </w:p>
          <w:p w14:paraId="1BD8399E" w14:textId="77777777" w:rsidR="00E06BCC" w:rsidRDefault="00E06BCC">
            <w:pPr>
              <w:pStyle w:val="Bullet"/>
              <w:numPr>
                <w:ilvl w:val="0"/>
                <w:numId w:val="1"/>
              </w:numPr>
              <w:ind w:left="1701" w:hanging="567"/>
              <w:rPr>
                <w:b/>
              </w:rPr>
            </w:pPr>
            <w:r>
              <w:t>Käytetyn veden tyyppi ei ole oikea. Veden on oltava kylmää tai huoneenlämpöistä ja hiilihapotonta tai hiilihapollista pullotettua vettä.</w:t>
            </w:r>
          </w:p>
          <w:p w14:paraId="51272156" w14:textId="77777777" w:rsidR="00E06BCC" w:rsidRDefault="00E06BCC">
            <w:pPr>
              <w:pStyle w:val="Bullet"/>
              <w:numPr>
                <w:ilvl w:val="0"/>
                <w:numId w:val="1"/>
              </w:numPr>
              <w:ind w:left="1701" w:hanging="567"/>
              <w:rPr>
                <w:b/>
              </w:rPr>
            </w:pPr>
            <w:r>
              <w:t>Annospussien sekoittaminen väärässä järjestyksessä; annospussi 1 pitää lisätä veteen ensin. Jos sekoitat annospussit väärässä järjestyksessä, sinun on hävitettävä rokote ja pyydettävä uutta annosta.</w:t>
            </w:r>
          </w:p>
          <w:p w14:paraId="6536D042" w14:textId="77777777" w:rsidR="00E06BCC" w:rsidRDefault="00E06BCC">
            <w:pPr>
              <w:pStyle w:val="Bullet"/>
              <w:numPr>
                <w:ilvl w:val="0"/>
                <w:numId w:val="1"/>
              </w:numPr>
              <w:ind w:left="1701" w:hanging="567"/>
              <w:rPr>
                <w:b/>
              </w:rPr>
            </w:pPr>
            <w:r>
              <w:t>Syömistä ja juomista on vältettävä 60 minuuttia ennen rokotteen ottamista ja 60 minuuttia sen jälkeen, sillä ruoan ja juoman nauttiminen voi heikentää rokotteen tehoa.</w:t>
            </w:r>
          </w:p>
          <w:p w14:paraId="02E06306" w14:textId="77777777" w:rsidR="00E06BCC" w:rsidRDefault="00E06BCC"/>
          <w:p w14:paraId="754397FF" w14:textId="77777777" w:rsidR="00E06BCC" w:rsidRDefault="00E06BCC">
            <w:r>
              <w:t>Älä kosketa silmiäsi rokotteen valmistelun aikana kontaminaation (bakteerin leviämisen) välttämiseksi.</w:t>
            </w:r>
          </w:p>
          <w:p w14:paraId="3D2B0208" w14:textId="77777777" w:rsidR="00E06BCC" w:rsidRDefault="00E06BCC"/>
          <w:p w14:paraId="35F9C925" w14:textId="13CCA349" w:rsidR="00E06BCC" w:rsidRDefault="00E06BCC">
            <w:r>
              <w:t xml:space="preserve">Jos jauhetta tai nestettä roiskuu, puhdista pinnat kuumalla vedellä ja saippualla tai bakteereja tuhoavalla </w:t>
            </w:r>
            <w:r w:rsidRPr="00E13CAB">
              <w:t>desinfiointiaineella</w:t>
            </w:r>
            <w:r>
              <w:t>.</w:t>
            </w:r>
          </w:p>
          <w:p w14:paraId="4AA65AEB" w14:textId="77777777" w:rsidR="00E06BCC" w:rsidRDefault="00E06BCC"/>
          <w:p w14:paraId="3FEAAF20" w14:textId="6AFAD856" w:rsidR="00E06BCC" w:rsidRDefault="00E06BCC">
            <w:r>
              <w:t>Jos roiskeet ovat suuria (enemmän kuin muutama pisara nestettä tai muutama jauhehiukkanen), hävitä rokote ja pyydä uusi rokote lääkäriltä tai apteekista. ÄLÄ ota jäljellä olevaa lääkettä.</w:t>
            </w:r>
          </w:p>
        </w:tc>
      </w:tr>
      <w:tr w:rsidR="003A27D6" w14:paraId="5F3A7B61" w14:textId="77777777" w:rsidTr="00311E89">
        <w:trPr>
          <w:cantSplit/>
        </w:trPr>
        <w:tc>
          <w:tcPr>
            <w:tcW w:w="1212" w:type="dxa"/>
            <w:tcBorders>
              <w:top w:val="single" w:sz="2" w:space="0" w:color="000000"/>
              <w:left w:val="single" w:sz="2" w:space="0" w:color="000000"/>
              <w:bottom w:val="single" w:sz="2" w:space="0" w:color="000000"/>
            </w:tcBorders>
            <w:shd w:val="clear" w:color="auto" w:fill="auto"/>
          </w:tcPr>
          <w:p w14:paraId="13287725" w14:textId="77777777" w:rsidR="003A27D6" w:rsidRDefault="008A6308">
            <w:r>
              <w:t>Vaihe 1</w:t>
            </w:r>
          </w:p>
        </w:tc>
        <w:tc>
          <w:tcPr>
            <w:tcW w:w="3647" w:type="dxa"/>
            <w:tcBorders>
              <w:top w:val="single" w:sz="2" w:space="0" w:color="000000"/>
              <w:bottom w:val="single" w:sz="2" w:space="0" w:color="000000"/>
            </w:tcBorders>
            <w:shd w:val="clear" w:color="auto" w:fill="auto"/>
          </w:tcPr>
          <w:p w14:paraId="126F8EC0" w14:textId="77777777" w:rsidR="003A27D6" w:rsidRDefault="003A27D6">
            <w:pPr>
              <w:jc w:val="center"/>
            </w:pPr>
          </w:p>
        </w:tc>
        <w:tc>
          <w:tcPr>
            <w:tcW w:w="4477" w:type="dxa"/>
            <w:tcBorders>
              <w:top w:val="single" w:sz="2" w:space="0" w:color="000000"/>
              <w:bottom w:val="single" w:sz="2" w:space="0" w:color="000000"/>
              <w:right w:val="single" w:sz="2" w:space="0" w:color="000000"/>
            </w:tcBorders>
            <w:shd w:val="clear" w:color="auto" w:fill="auto"/>
          </w:tcPr>
          <w:p w14:paraId="5CC41A17" w14:textId="77777777" w:rsidR="003A27D6" w:rsidRDefault="008A6308">
            <w:r>
              <w:t>Kerää tarvikkeet:</w:t>
            </w:r>
          </w:p>
          <w:p w14:paraId="6A29C2FD" w14:textId="77777777" w:rsidR="003A27D6" w:rsidRDefault="008A6308">
            <w:pPr>
              <w:pStyle w:val="Bullet"/>
              <w:numPr>
                <w:ilvl w:val="0"/>
                <w:numId w:val="1"/>
              </w:numPr>
              <w:ind w:left="1304" w:hanging="567"/>
              <w:rPr>
                <w:b/>
              </w:rPr>
            </w:pPr>
            <w:r>
              <w:t>Puhdas kuppi</w:t>
            </w:r>
          </w:p>
          <w:p w14:paraId="5F2A4D8F" w14:textId="77777777" w:rsidR="003A27D6" w:rsidRDefault="008A6308">
            <w:pPr>
              <w:pStyle w:val="Bullet"/>
              <w:numPr>
                <w:ilvl w:val="0"/>
                <w:numId w:val="1"/>
              </w:numPr>
              <w:ind w:left="1304" w:hanging="567"/>
              <w:rPr>
                <w:b/>
              </w:rPr>
            </w:pPr>
            <w:r>
              <w:t>Sekoitusväline</w:t>
            </w:r>
          </w:p>
          <w:p w14:paraId="74EE4522" w14:textId="66426048" w:rsidR="003A27D6" w:rsidRDefault="008A6308">
            <w:pPr>
              <w:pStyle w:val="Bullet"/>
              <w:numPr>
                <w:ilvl w:val="0"/>
                <w:numId w:val="1"/>
              </w:numPr>
              <w:ind w:left="1304" w:hanging="567"/>
            </w:pPr>
            <w:r>
              <w:t>Pullotettua vettä (hiilihapotonta tai hiilihapollista kylmää tai huoneenlämpöistä, enintään 25</w:t>
            </w:r>
            <w:r w:rsidR="00B81B4C">
              <w:t> </w:t>
            </w:r>
            <w:r>
              <w:t>°C)</w:t>
            </w:r>
          </w:p>
          <w:p w14:paraId="73DF0F8D" w14:textId="77777777" w:rsidR="003A27D6" w:rsidRDefault="008A6308">
            <w:pPr>
              <w:pStyle w:val="Bullet"/>
              <w:numPr>
                <w:ilvl w:val="0"/>
                <w:numId w:val="1"/>
              </w:numPr>
              <w:ind w:left="1304" w:hanging="567"/>
              <w:rPr>
                <w:b/>
              </w:rPr>
            </w:pPr>
            <w:r>
              <w:t>Astia, jolla voit mitata 100 ml pullotettua vettä (esim. mittakuppi)</w:t>
            </w:r>
          </w:p>
          <w:p w14:paraId="4F648B22" w14:textId="77777777" w:rsidR="003A27D6" w:rsidRDefault="008A6308">
            <w:pPr>
              <w:pStyle w:val="Bullet"/>
              <w:numPr>
                <w:ilvl w:val="0"/>
                <w:numId w:val="1"/>
              </w:numPr>
              <w:ind w:left="1304" w:hanging="567"/>
              <w:rPr>
                <w:b/>
              </w:rPr>
            </w:pPr>
            <w:r>
              <w:t>Sakset</w:t>
            </w:r>
          </w:p>
        </w:tc>
      </w:tr>
      <w:tr w:rsidR="003A27D6" w14:paraId="483846A5"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619C24E2" w14:textId="77777777" w:rsidR="003A27D6" w:rsidRDefault="008A6308">
            <w:r>
              <w:lastRenderedPageBreak/>
              <w:t>Vaihe 2</w:t>
            </w:r>
          </w:p>
        </w:tc>
        <w:tc>
          <w:tcPr>
            <w:tcW w:w="3647" w:type="dxa"/>
            <w:tcBorders>
              <w:top w:val="single" w:sz="2" w:space="0" w:color="000000"/>
              <w:bottom w:val="single" w:sz="2" w:space="0" w:color="000000"/>
            </w:tcBorders>
            <w:shd w:val="clear" w:color="auto" w:fill="auto"/>
          </w:tcPr>
          <w:p w14:paraId="3E3FDA7A" w14:textId="77777777" w:rsidR="003A27D6" w:rsidRDefault="008A6308">
            <w:pPr>
              <w:jc w:val="center"/>
            </w:pPr>
            <w:r>
              <w:rPr>
                <w:noProof/>
                <w:lang w:val="en-US" w:eastAsia="en-US"/>
              </w:rPr>
              <w:drawing>
                <wp:inline distT="0" distB="0" distL="0" distR="0" wp14:anchorId="7D7D6FC8" wp14:editId="5036420B">
                  <wp:extent cx="2012315" cy="143446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pic:blipFill>
                        <pic:spPr>
                          <a:xfrm>
                            <a:off x="0" y="0"/>
                            <a:ext cx="2011680" cy="1433880"/>
                          </a:xfrm>
                          <a:prstGeom prst="rect">
                            <a:avLst/>
                          </a:prstGeom>
                          <a:ln>
                            <a:noFill/>
                          </a:ln>
                        </pic:spPr>
                      </pic:pic>
                    </a:graphicData>
                  </a:graphic>
                </wp:inline>
              </w:drawing>
            </w:r>
          </w:p>
        </w:tc>
        <w:tc>
          <w:tcPr>
            <w:tcW w:w="4477" w:type="dxa"/>
            <w:tcBorders>
              <w:top w:val="single" w:sz="2" w:space="0" w:color="000000"/>
              <w:bottom w:val="single" w:sz="2" w:space="0" w:color="000000"/>
              <w:right w:val="single" w:sz="2" w:space="0" w:color="000000"/>
            </w:tcBorders>
            <w:shd w:val="clear" w:color="auto" w:fill="auto"/>
          </w:tcPr>
          <w:p w14:paraId="32AD5522" w14:textId="77777777" w:rsidR="003A27D6" w:rsidRDefault="008A6308">
            <w:r>
              <w:t>Ota rokote jääkaapista.</w:t>
            </w:r>
          </w:p>
          <w:p w14:paraId="3EA7D8E3" w14:textId="77777777" w:rsidR="003A27D6" w:rsidRDefault="003A27D6"/>
        </w:tc>
      </w:tr>
      <w:tr w:rsidR="00311E89" w14:paraId="6C46F064"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31FAFB0A" w14:textId="77777777" w:rsidR="00311E89" w:rsidRDefault="00311E89">
            <w:r>
              <w:t>Vaihe 3</w:t>
            </w:r>
          </w:p>
        </w:tc>
        <w:tc>
          <w:tcPr>
            <w:tcW w:w="3647" w:type="dxa"/>
            <w:tcBorders>
              <w:top w:val="single" w:sz="2" w:space="0" w:color="000000"/>
              <w:bottom w:val="single" w:sz="2" w:space="0" w:color="000000"/>
            </w:tcBorders>
            <w:shd w:val="clear" w:color="auto" w:fill="auto"/>
          </w:tcPr>
          <w:p w14:paraId="047D72F9" w14:textId="77777777" w:rsidR="00311E89" w:rsidRDefault="00311E89">
            <w:pPr>
              <w:jc w:val="center"/>
            </w:pPr>
            <w:r>
              <w:rPr>
                <w:noProof/>
                <w:lang w:val="en-US" w:eastAsia="en-US"/>
              </w:rPr>
              <w:drawing>
                <wp:inline distT="0" distB="0" distL="0" distR="0" wp14:anchorId="4C907989" wp14:editId="5D9358EE">
                  <wp:extent cx="1412240" cy="1134745"/>
                  <wp:effectExtent l="0" t="0" r="0" b="0"/>
                  <wp:docPr id="4" name="Graphic 1"/>
                  <wp:cNvGraphicFramePr/>
                  <a:graphic xmlns:a="http://schemas.openxmlformats.org/drawingml/2006/main">
                    <a:graphicData uri="http://schemas.openxmlformats.org/drawingml/2006/picture">
                      <pic:pic xmlns:pic="http://schemas.openxmlformats.org/drawingml/2006/picture">
                        <pic:nvPicPr>
                          <pic:cNvPr id="3" name="Graphic 1"/>
                          <pic:cNvPicPr/>
                        </pic:nvPicPr>
                        <pic:blipFill>
                          <a:blip r:embed="rId14"/>
                          <a:stretch/>
                        </pic:blipFill>
                        <pic:spPr>
                          <a:xfrm>
                            <a:off x="0" y="0"/>
                            <a:ext cx="1411560" cy="113400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54FC39E6" w14:textId="77777777" w:rsidR="00311E89" w:rsidRDefault="00311E89">
            <w:r>
              <w:t>Ota esiin kaksi annospussia: annospusseihin on merkitty numerot 1 ja 2.</w:t>
            </w:r>
          </w:p>
          <w:p w14:paraId="6B4611B5" w14:textId="77777777" w:rsidR="00311E89" w:rsidRDefault="00311E89"/>
          <w:p w14:paraId="7A222ED5" w14:textId="41EF5AB8" w:rsidR="00311E89" w:rsidRDefault="00311E89">
            <w:r>
              <w:t>Annospussin 1 sisältö on ”Vaxchora-puskuri”, ja pussi on mustavalkoinen. Annospussin 2 sisältö on “Vaxchora, vaikuttava aine”, ja pussi on sinivalkoinen.</w:t>
            </w:r>
          </w:p>
          <w:p w14:paraId="0C6B98BE" w14:textId="77777777" w:rsidR="00311E89" w:rsidRDefault="00311E89"/>
          <w:p w14:paraId="71913FBC" w14:textId="16CF7224" w:rsidR="00311E89" w:rsidRDefault="00311E89">
            <w:r>
              <w:t>Jos annospussi ei ole ehjä, älä käytä sitä vaan ota yhteys lääkäriin, apteekkihenkilökuntaan tai sairaanhoitajaan ja pyydä heiltä uusi annos. Rikkoutuneen annospussin käyttäminen voi heikentää rokotteen tehoa.</w:t>
            </w:r>
          </w:p>
        </w:tc>
      </w:tr>
      <w:tr w:rsidR="00311E89" w14:paraId="18CA7CBB"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78812CFA" w14:textId="77777777" w:rsidR="00311E89" w:rsidRDefault="00311E89">
            <w:r>
              <w:t>Vaihe 4</w:t>
            </w:r>
          </w:p>
        </w:tc>
        <w:tc>
          <w:tcPr>
            <w:tcW w:w="3647" w:type="dxa"/>
            <w:tcBorders>
              <w:top w:val="single" w:sz="2" w:space="0" w:color="000000"/>
              <w:bottom w:val="single" w:sz="2" w:space="0" w:color="000000"/>
            </w:tcBorders>
            <w:shd w:val="clear" w:color="auto" w:fill="auto"/>
          </w:tcPr>
          <w:p w14:paraId="0EA76E61" w14:textId="77777777" w:rsidR="00311E89" w:rsidRDefault="00311E89">
            <w:pPr>
              <w:jc w:val="center"/>
            </w:pPr>
            <w:r>
              <w:rPr>
                <w:noProof/>
                <w:lang w:val="en-US" w:eastAsia="en-US"/>
              </w:rPr>
              <w:drawing>
                <wp:inline distT="0" distB="0" distL="0" distR="0" wp14:anchorId="78C78C55" wp14:editId="1A5F8BF9">
                  <wp:extent cx="1902460" cy="150050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5"/>
                          <a:stretch/>
                        </pic:blipFill>
                        <pic:spPr>
                          <a:xfrm>
                            <a:off x="0" y="0"/>
                            <a:ext cx="1901880" cy="149976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17F168CD" w14:textId="77777777" w:rsidR="00311E89" w:rsidRDefault="00311E89">
            <w:r>
              <w:t xml:space="preserve">Mittaa 100 ml </w:t>
            </w:r>
            <w:r>
              <w:rPr>
                <w:rStyle w:val="Strong"/>
              </w:rPr>
              <w:t>pullotettua</w:t>
            </w:r>
            <w:r>
              <w:t>, kylmää tai huoneenlämpöistä, hiilihapotonta tai hiilihapollista vettä puhtaaseen kuppiin.</w:t>
            </w:r>
          </w:p>
          <w:p w14:paraId="234E4569" w14:textId="77777777" w:rsidR="00311E89" w:rsidRDefault="00311E89"/>
          <w:p w14:paraId="5268C7EC" w14:textId="0CC984D2" w:rsidR="00311E89" w:rsidRDefault="00311E89">
            <w:r>
              <w:t>Rokotteen tehon varmistamiseksi on välttämätöntä käyttää pullotettua vettä. Rokote voi menettää tehonsa, jos käytät muuta kuin pullotettua vettä (esim. hanavettä).</w:t>
            </w:r>
          </w:p>
        </w:tc>
      </w:tr>
      <w:tr w:rsidR="00311E89" w14:paraId="75C89EBE"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2B1FDD2A" w14:textId="77777777" w:rsidR="00311E89" w:rsidRDefault="00311E89">
            <w:r>
              <w:t>Vaihe 5</w:t>
            </w:r>
          </w:p>
        </w:tc>
        <w:tc>
          <w:tcPr>
            <w:tcW w:w="3647" w:type="dxa"/>
            <w:tcBorders>
              <w:top w:val="single" w:sz="2" w:space="0" w:color="000000"/>
              <w:bottom w:val="single" w:sz="2" w:space="0" w:color="000000"/>
            </w:tcBorders>
            <w:shd w:val="clear" w:color="auto" w:fill="auto"/>
          </w:tcPr>
          <w:p w14:paraId="007455D3" w14:textId="77777777" w:rsidR="00311E89" w:rsidRDefault="00311E89">
            <w:pPr>
              <w:jc w:val="center"/>
            </w:pPr>
            <w:r>
              <w:rPr>
                <w:noProof/>
                <w:lang w:val="en-US" w:eastAsia="en-US"/>
              </w:rPr>
              <w:drawing>
                <wp:inline distT="0" distB="0" distL="0" distR="0" wp14:anchorId="5E8982EE" wp14:editId="5C70DC7F">
                  <wp:extent cx="1258570" cy="1002665"/>
                  <wp:effectExtent l="0" t="0" r="0" b="0"/>
                  <wp:docPr id="6" name="Graphic 15"/>
                  <wp:cNvGraphicFramePr/>
                  <a:graphic xmlns:a="http://schemas.openxmlformats.org/drawingml/2006/main">
                    <a:graphicData uri="http://schemas.openxmlformats.org/drawingml/2006/picture">
                      <pic:pic xmlns:pic="http://schemas.openxmlformats.org/drawingml/2006/picture">
                        <pic:nvPicPr>
                          <pic:cNvPr id="5" name="Graphic 15"/>
                          <pic:cNvPicPr/>
                        </pic:nvPicPr>
                        <pic:blipFill>
                          <a:blip r:embed="rId16"/>
                          <a:stretch/>
                        </pic:blipFill>
                        <pic:spPr>
                          <a:xfrm>
                            <a:off x="0" y="0"/>
                            <a:ext cx="1257840" cy="100188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4FCD6EF7" w14:textId="77777777" w:rsidR="00311E89" w:rsidRDefault="00311E89">
            <w:r>
              <w:t>Leikkaa annospussin 1 pääty auki saksilla.</w:t>
            </w:r>
          </w:p>
          <w:p w14:paraId="1726D06D" w14:textId="77777777" w:rsidR="00311E89" w:rsidRDefault="00311E89"/>
          <w:p w14:paraId="1D76E8AB" w14:textId="47169F24" w:rsidR="00311E89" w:rsidRDefault="00311E89">
            <w:r>
              <w:t>Älä laita sormia annospussiin. Jos kosket annospussin sisältöön, pese kädet kontaminaatioriskin pienentämiseksi.</w:t>
            </w:r>
          </w:p>
        </w:tc>
      </w:tr>
      <w:tr w:rsidR="00311E89" w14:paraId="361D57B8" w14:textId="77777777" w:rsidTr="00FE7CE1">
        <w:trPr>
          <w:cantSplit/>
          <w:trHeight w:val="2237"/>
        </w:trPr>
        <w:tc>
          <w:tcPr>
            <w:tcW w:w="1212" w:type="dxa"/>
            <w:tcBorders>
              <w:top w:val="single" w:sz="2" w:space="0" w:color="000000"/>
              <w:left w:val="single" w:sz="2" w:space="0" w:color="000000"/>
              <w:bottom w:val="single" w:sz="2" w:space="0" w:color="000000"/>
            </w:tcBorders>
            <w:shd w:val="clear" w:color="auto" w:fill="auto"/>
          </w:tcPr>
          <w:p w14:paraId="2C7EC8D3" w14:textId="77777777" w:rsidR="00311E89" w:rsidRDefault="00311E89">
            <w:r>
              <w:t>Vaihe 6</w:t>
            </w:r>
          </w:p>
        </w:tc>
        <w:tc>
          <w:tcPr>
            <w:tcW w:w="3647" w:type="dxa"/>
            <w:tcBorders>
              <w:top w:val="single" w:sz="2" w:space="0" w:color="000000"/>
              <w:bottom w:val="single" w:sz="2" w:space="0" w:color="000000"/>
            </w:tcBorders>
            <w:shd w:val="clear" w:color="auto" w:fill="auto"/>
          </w:tcPr>
          <w:p w14:paraId="16EB0C6A" w14:textId="77777777" w:rsidR="00311E89" w:rsidRDefault="00311E89">
            <w:pPr>
              <w:jc w:val="center"/>
            </w:pPr>
            <w:r>
              <w:rPr>
                <w:noProof/>
                <w:lang w:val="en-US" w:eastAsia="en-US"/>
              </w:rPr>
              <w:drawing>
                <wp:inline distT="0" distB="0" distL="0" distR="0" wp14:anchorId="70C7CD86" wp14:editId="3C248245">
                  <wp:extent cx="988060" cy="1222375"/>
                  <wp:effectExtent l="0" t="0" r="0" b="0"/>
                  <wp:docPr id="7" name="Graphic 11"/>
                  <wp:cNvGraphicFramePr/>
                  <a:graphic xmlns:a="http://schemas.openxmlformats.org/drawingml/2006/main">
                    <a:graphicData uri="http://schemas.openxmlformats.org/drawingml/2006/picture">
                      <pic:pic xmlns:pic="http://schemas.openxmlformats.org/drawingml/2006/picture">
                        <pic:nvPicPr>
                          <pic:cNvPr id="6" name="Graphic 11"/>
                          <pic:cNvPicPr/>
                        </pic:nvPicPr>
                        <pic:blipFill>
                          <a:blip r:embed="rId17"/>
                          <a:stretch/>
                        </pic:blipFill>
                        <pic:spPr>
                          <a:xfrm>
                            <a:off x="0" y="0"/>
                            <a:ext cx="987480" cy="122184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2DB93B1B" w14:textId="0BF6CB05" w:rsidR="00311E89" w:rsidRDefault="00311E89">
            <w:r>
              <w:t>Tyhjennä annospussin 1 sisältö kupissa olevaan veteen. Se poreilee.</w:t>
            </w:r>
          </w:p>
        </w:tc>
      </w:tr>
      <w:tr w:rsidR="00311E89" w14:paraId="47E1F1D9"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1EBB10AD" w14:textId="77777777" w:rsidR="00311E89" w:rsidRDefault="00311E89">
            <w:r>
              <w:t>Vaihe 7</w:t>
            </w:r>
          </w:p>
        </w:tc>
        <w:tc>
          <w:tcPr>
            <w:tcW w:w="3647" w:type="dxa"/>
            <w:tcBorders>
              <w:top w:val="single" w:sz="2" w:space="0" w:color="000000"/>
              <w:bottom w:val="single" w:sz="2" w:space="0" w:color="000000"/>
            </w:tcBorders>
            <w:shd w:val="clear" w:color="auto" w:fill="auto"/>
          </w:tcPr>
          <w:p w14:paraId="097B86BB" w14:textId="77777777" w:rsidR="00311E89" w:rsidRDefault="00311E89">
            <w:pPr>
              <w:jc w:val="center"/>
            </w:pPr>
            <w:r>
              <w:rPr>
                <w:noProof/>
                <w:lang w:val="en-US" w:eastAsia="en-US"/>
              </w:rPr>
              <w:drawing>
                <wp:inline distT="0" distB="0" distL="0" distR="0" wp14:anchorId="5FA65CD1" wp14:editId="0C43B045">
                  <wp:extent cx="988060" cy="1332230"/>
                  <wp:effectExtent l="0" t="0" r="0" b="0"/>
                  <wp:docPr id="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stretch/>
                        </pic:blipFill>
                        <pic:spPr>
                          <a:xfrm>
                            <a:off x="0" y="0"/>
                            <a:ext cx="987480" cy="133164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22D7B25A" w14:textId="57BC4633" w:rsidR="00311E89" w:rsidRDefault="00311E89">
            <w:r>
              <w:t>Sekoita, kunnes jauhe on liuennut täysin.</w:t>
            </w:r>
          </w:p>
        </w:tc>
      </w:tr>
      <w:tr w:rsidR="00311E89" w14:paraId="089E475B"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4207F2CA" w14:textId="77777777" w:rsidR="00311E89" w:rsidRDefault="00311E89">
            <w:r>
              <w:lastRenderedPageBreak/>
              <w:t>Vaihe 8</w:t>
            </w:r>
          </w:p>
        </w:tc>
        <w:tc>
          <w:tcPr>
            <w:tcW w:w="3647" w:type="dxa"/>
            <w:tcBorders>
              <w:top w:val="single" w:sz="2" w:space="0" w:color="000000"/>
              <w:bottom w:val="single" w:sz="2" w:space="0" w:color="000000"/>
            </w:tcBorders>
            <w:shd w:val="clear" w:color="auto" w:fill="auto"/>
          </w:tcPr>
          <w:p w14:paraId="45FA0ADF" w14:textId="77777777" w:rsidR="00311E89" w:rsidRDefault="00311E89">
            <w:pPr>
              <w:jc w:val="center"/>
              <w:rPr>
                <w:lang w:eastAsia="fi-FI"/>
              </w:rPr>
            </w:pPr>
            <w:r>
              <w:rPr>
                <w:noProof/>
                <w:lang w:val="en-US" w:eastAsia="en-US"/>
              </w:rPr>
              <w:drawing>
                <wp:inline distT="0" distB="0" distL="0" distR="0" wp14:anchorId="1BCE0197" wp14:editId="491FAC03">
                  <wp:extent cx="1426845" cy="1383030"/>
                  <wp:effectExtent l="0" t="0" r="0" b="0"/>
                  <wp:docPr id="9" name="Picture 18"/>
                  <wp:cNvGraphicFramePr/>
                  <a:graphic xmlns:a="http://schemas.openxmlformats.org/drawingml/2006/main">
                    <a:graphicData uri="http://schemas.openxmlformats.org/drawingml/2006/picture">
                      <pic:pic xmlns:pic="http://schemas.openxmlformats.org/drawingml/2006/picture">
                        <pic:nvPicPr>
                          <pic:cNvPr id="8" name="Picture 18"/>
                          <pic:cNvPicPr/>
                        </pic:nvPicPr>
                        <pic:blipFill>
                          <a:blip r:embed="rId19"/>
                          <a:stretch/>
                        </pic:blipFill>
                        <pic:spPr>
                          <a:xfrm>
                            <a:off x="0" y="0"/>
                            <a:ext cx="1426320" cy="138240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5B29CDD9" w14:textId="77777777" w:rsidR="00311E89" w:rsidRDefault="00311E89">
            <w:pPr>
              <w:keepNext/>
              <w:suppressAutoHyphens w:val="0"/>
              <w:spacing w:before="240" w:after="60"/>
              <w:ind w:right="-2"/>
              <w:outlineLvl w:val="3"/>
              <w:rPr>
                <w:b/>
                <w:i/>
                <w:lang w:eastAsia="en-US"/>
              </w:rPr>
            </w:pPr>
            <w:r>
              <w:rPr>
                <w:b/>
                <w:i/>
                <w:lang w:eastAsia="en-US"/>
              </w:rPr>
              <w:t>Vain 2 – &lt; 6-vuotiaiden lasten kohdalla:</w:t>
            </w:r>
          </w:p>
          <w:p w14:paraId="19CDD62D" w14:textId="6DCADC64" w:rsidR="00311E89" w:rsidRDefault="00311E89">
            <w:r>
              <w:rPr>
                <w:lang w:eastAsia="en-US"/>
              </w:rPr>
              <w:t>Kaada pois ja hävitä puolet puskuriliuoksesta. (Huomaa: tätä vaihetta EI tehdä yli 6-vuotiaille lapsille ja aikuisille.)</w:t>
            </w:r>
          </w:p>
        </w:tc>
      </w:tr>
      <w:tr w:rsidR="00311E89" w14:paraId="1A455ADE"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3B241AB7" w14:textId="77777777" w:rsidR="00311E89" w:rsidRDefault="00311E89">
            <w:r>
              <w:t>Vaihe 9</w:t>
            </w:r>
          </w:p>
        </w:tc>
        <w:tc>
          <w:tcPr>
            <w:tcW w:w="3647" w:type="dxa"/>
            <w:tcBorders>
              <w:top w:val="single" w:sz="2" w:space="0" w:color="000000"/>
              <w:bottom w:val="single" w:sz="2" w:space="0" w:color="000000"/>
            </w:tcBorders>
            <w:shd w:val="clear" w:color="auto" w:fill="auto"/>
          </w:tcPr>
          <w:p w14:paraId="7321C235" w14:textId="77777777" w:rsidR="00311E89" w:rsidRDefault="00311E89">
            <w:pPr>
              <w:jc w:val="center"/>
            </w:pPr>
            <w:r>
              <w:rPr>
                <w:noProof/>
                <w:lang w:val="en-US" w:eastAsia="en-US"/>
              </w:rPr>
              <w:drawing>
                <wp:inline distT="0" distB="0" distL="0" distR="0" wp14:anchorId="5F16C4BB" wp14:editId="07862B61">
                  <wp:extent cx="1207770" cy="973455"/>
                  <wp:effectExtent l="0" t="0" r="0" b="0"/>
                  <wp:docPr id="10" name="Graphic 12"/>
                  <wp:cNvGraphicFramePr/>
                  <a:graphic xmlns:a="http://schemas.openxmlformats.org/drawingml/2006/main">
                    <a:graphicData uri="http://schemas.openxmlformats.org/drawingml/2006/picture">
                      <pic:pic xmlns:pic="http://schemas.openxmlformats.org/drawingml/2006/picture">
                        <pic:nvPicPr>
                          <pic:cNvPr id="9" name="Graphic 12"/>
                          <pic:cNvPicPr/>
                        </pic:nvPicPr>
                        <pic:blipFill>
                          <a:blip r:embed="rId20"/>
                          <a:stretch/>
                        </pic:blipFill>
                        <pic:spPr>
                          <a:xfrm>
                            <a:off x="0" y="0"/>
                            <a:ext cx="1207080" cy="97272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0FE6B68D" w14:textId="77777777" w:rsidR="00311E89" w:rsidRDefault="00311E89">
            <w:r>
              <w:t>Leikkaa annospussin 2 pääty auki saksilla.</w:t>
            </w:r>
          </w:p>
          <w:p w14:paraId="20F5F925" w14:textId="77777777" w:rsidR="00311E89" w:rsidRDefault="00311E89"/>
          <w:p w14:paraId="5AC38800" w14:textId="1763C394" w:rsidR="00311E89" w:rsidRDefault="00311E89">
            <w:r>
              <w:t>Älä laita sormia annospussiin. Jos kosket annospussin sisältöön, pese kädet kontaminaatioriskin pienentämiseksi.</w:t>
            </w:r>
          </w:p>
        </w:tc>
      </w:tr>
      <w:tr w:rsidR="00311E89" w14:paraId="46A781B0" w14:textId="77777777" w:rsidTr="00FE7CE1">
        <w:trPr>
          <w:cantSplit/>
          <w:trHeight w:val="2463"/>
        </w:trPr>
        <w:tc>
          <w:tcPr>
            <w:tcW w:w="1212" w:type="dxa"/>
            <w:tcBorders>
              <w:top w:val="single" w:sz="2" w:space="0" w:color="000000"/>
              <w:left w:val="single" w:sz="2" w:space="0" w:color="000000"/>
              <w:bottom w:val="single" w:sz="2" w:space="0" w:color="000000"/>
            </w:tcBorders>
            <w:shd w:val="clear" w:color="auto" w:fill="auto"/>
          </w:tcPr>
          <w:p w14:paraId="71BBBB94" w14:textId="77777777" w:rsidR="00311E89" w:rsidRDefault="00311E89">
            <w:r>
              <w:t>Vaihe 10</w:t>
            </w:r>
          </w:p>
        </w:tc>
        <w:tc>
          <w:tcPr>
            <w:tcW w:w="3647" w:type="dxa"/>
            <w:tcBorders>
              <w:top w:val="single" w:sz="2" w:space="0" w:color="000000"/>
              <w:bottom w:val="single" w:sz="2" w:space="0" w:color="000000"/>
            </w:tcBorders>
            <w:shd w:val="clear" w:color="auto" w:fill="auto"/>
          </w:tcPr>
          <w:p w14:paraId="4A18212A" w14:textId="77777777" w:rsidR="00311E89" w:rsidRDefault="00311E89">
            <w:pPr>
              <w:jc w:val="center"/>
            </w:pPr>
            <w:r>
              <w:rPr>
                <w:noProof/>
                <w:lang w:val="en-US" w:eastAsia="en-US"/>
              </w:rPr>
              <w:drawing>
                <wp:inline distT="0" distB="0" distL="0" distR="0" wp14:anchorId="413ADBDD" wp14:editId="0A118CE6">
                  <wp:extent cx="1097915" cy="1368425"/>
                  <wp:effectExtent l="0" t="0" r="0" b="0"/>
                  <wp:docPr id="11" name="Graphic 13"/>
                  <wp:cNvGraphicFramePr/>
                  <a:graphic xmlns:a="http://schemas.openxmlformats.org/drawingml/2006/main">
                    <a:graphicData uri="http://schemas.openxmlformats.org/drawingml/2006/picture">
                      <pic:pic xmlns:pic="http://schemas.openxmlformats.org/drawingml/2006/picture">
                        <pic:nvPicPr>
                          <pic:cNvPr id="10" name="Graphic 13"/>
                          <pic:cNvPicPr/>
                        </pic:nvPicPr>
                        <pic:blipFill>
                          <a:blip r:embed="rId21"/>
                          <a:stretch/>
                        </pic:blipFill>
                        <pic:spPr>
                          <a:xfrm>
                            <a:off x="0" y="0"/>
                            <a:ext cx="1097280" cy="136764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64986D57" w14:textId="4D00B902" w:rsidR="00311E89" w:rsidRDefault="00311E89">
            <w:r>
              <w:t>Tyhjennä annospussin 2 sisältö kuppiin.</w:t>
            </w:r>
          </w:p>
        </w:tc>
      </w:tr>
      <w:tr w:rsidR="00311E89" w14:paraId="69690DF7"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23272A09" w14:textId="77777777" w:rsidR="00311E89" w:rsidRDefault="00311E89">
            <w:r>
              <w:t>Vaihe 11</w:t>
            </w:r>
          </w:p>
        </w:tc>
        <w:tc>
          <w:tcPr>
            <w:tcW w:w="3647" w:type="dxa"/>
            <w:tcBorders>
              <w:top w:val="single" w:sz="2" w:space="0" w:color="000000"/>
              <w:bottom w:val="single" w:sz="2" w:space="0" w:color="000000"/>
            </w:tcBorders>
            <w:shd w:val="clear" w:color="auto" w:fill="auto"/>
          </w:tcPr>
          <w:p w14:paraId="308460BB" w14:textId="77777777" w:rsidR="00311E89" w:rsidRDefault="00311E89">
            <w:pPr>
              <w:jc w:val="center"/>
            </w:pPr>
            <w:r>
              <w:rPr>
                <w:noProof/>
                <w:lang w:val="en-US" w:eastAsia="en-US"/>
              </w:rPr>
              <w:drawing>
                <wp:inline distT="0" distB="0" distL="0" distR="0" wp14:anchorId="5E56FE56" wp14:editId="4A681E94">
                  <wp:extent cx="988060" cy="1426845"/>
                  <wp:effectExtent l="0" t="0" r="0" b="0"/>
                  <wp:docPr id="12" name="Picture 6"/>
                  <wp:cNvGraphicFramePr/>
                  <a:graphic xmlns:a="http://schemas.openxmlformats.org/drawingml/2006/main">
                    <a:graphicData uri="http://schemas.openxmlformats.org/drawingml/2006/picture">
                      <pic:pic xmlns:pic="http://schemas.openxmlformats.org/drawingml/2006/picture">
                        <pic:nvPicPr>
                          <pic:cNvPr id="11" name="Picture 6"/>
                          <pic:cNvPicPr/>
                        </pic:nvPicPr>
                        <pic:blipFill>
                          <a:blip r:embed="rId22"/>
                          <a:stretch/>
                        </pic:blipFill>
                        <pic:spPr>
                          <a:xfrm>
                            <a:off x="0" y="0"/>
                            <a:ext cx="987480" cy="142632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69C3D181" w14:textId="16781253" w:rsidR="00311E89" w:rsidRDefault="00311E89">
            <w:r>
              <w:t>Sekoita vähintään 30 sekunnin ajan. Annospussin 2 jauhe ei välttämättä liukene täysin. Se muodostaa hieman samean seoksen, jossa on jonkin verran valkeita hiukkasia.</w:t>
            </w:r>
          </w:p>
          <w:p w14:paraId="184938A1" w14:textId="77777777" w:rsidR="00311E89" w:rsidRDefault="00311E89"/>
          <w:p w14:paraId="4C0E2824" w14:textId="1763A696" w:rsidR="00311E89" w:rsidRDefault="00311E89">
            <w:r>
              <w:t>Sen jälkeen, kun annospussin 2 sisältöä on sekoitettu vähintään 30 sekunnin ajan, suspensioon voidaan haluttaessa sekoittaa makeutusaine steviaa (enintään 1 g tai neljännesteelusikallinen) tai sokeria (sakkaroosia, enintään 4 g tai teelusikallinen). ÄLÄ lisää muita makeutusaineita, sillä ne saattavat heikentää rokotteen tehoa.</w:t>
            </w:r>
          </w:p>
          <w:p w14:paraId="565DD960" w14:textId="77777777" w:rsidR="00311E89" w:rsidRDefault="00311E89"/>
        </w:tc>
      </w:tr>
      <w:tr w:rsidR="00311E89" w14:paraId="6855F7DC"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7E49B19D" w14:textId="77777777" w:rsidR="00311E89" w:rsidRDefault="00311E89">
            <w:r>
              <w:t>Vaihe 12</w:t>
            </w:r>
          </w:p>
        </w:tc>
        <w:tc>
          <w:tcPr>
            <w:tcW w:w="3647" w:type="dxa"/>
            <w:tcBorders>
              <w:top w:val="single" w:sz="2" w:space="0" w:color="000000"/>
              <w:bottom w:val="single" w:sz="2" w:space="0" w:color="000000"/>
            </w:tcBorders>
            <w:shd w:val="clear" w:color="auto" w:fill="auto"/>
          </w:tcPr>
          <w:p w14:paraId="6C2FE206" w14:textId="77777777" w:rsidR="00311E89" w:rsidRDefault="00311E89">
            <w:pPr>
              <w:jc w:val="center"/>
            </w:pPr>
            <w:r>
              <w:rPr>
                <w:noProof/>
                <w:lang w:val="en-US" w:eastAsia="en-US"/>
              </w:rPr>
              <w:drawing>
                <wp:inline distT="0" distB="0" distL="0" distR="0" wp14:anchorId="1769FED7" wp14:editId="5862473C">
                  <wp:extent cx="1609725" cy="1273175"/>
                  <wp:effectExtent l="0" t="0" r="0" b="0"/>
                  <wp:docPr id="13" name="Picture 9"/>
                  <wp:cNvGraphicFramePr/>
                  <a:graphic xmlns:a="http://schemas.openxmlformats.org/drawingml/2006/main">
                    <a:graphicData uri="http://schemas.openxmlformats.org/drawingml/2006/picture">
                      <pic:pic xmlns:pic="http://schemas.openxmlformats.org/drawingml/2006/picture">
                        <pic:nvPicPr>
                          <pic:cNvPr id="12" name="Picture 9"/>
                          <pic:cNvPicPr/>
                        </pic:nvPicPr>
                        <pic:blipFill>
                          <a:blip r:embed="rId23"/>
                          <a:stretch/>
                        </pic:blipFill>
                        <pic:spPr>
                          <a:xfrm>
                            <a:off x="0" y="0"/>
                            <a:ext cx="1609200" cy="127260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64353598" w14:textId="64FA9751" w:rsidR="00311E89" w:rsidRDefault="00311E89">
            <w:r>
              <w:t>Juo kupin koko sisältö 15 minuutin kuluessa sen valmistamisesta. Kuppiin voi jäädä hieman lääkevalmistetta, joka on hävitettävä. Jos sinä otat tai lapsesi ottaa alle puolet annoksesta, ota heti yhteys lääkäriin, apteekkihenkilökuntaan tai sairaanhoitajaan uuden annoksen tarvetta varten.</w:t>
            </w:r>
          </w:p>
        </w:tc>
      </w:tr>
      <w:tr w:rsidR="00311E89" w14:paraId="608A228C" w14:textId="77777777" w:rsidTr="00FE7CE1">
        <w:trPr>
          <w:cantSplit/>
          <w:trHeight w:val="3391"/>
        </w:trPr>
        <w:tc>
          <w:tcPr>
            <w:tcW w:w="1212" w:type="dxa"/>
            <w:tcBorders>
              <w:top w:val="single" w:sz="2" w:space="0" w:color="000000"/>
              <w:left w:val="single" w:sz="2" w:space="0" w:color="000000"/>
              <w:bottom w:val="single" w:sz="2" w:space="0" w:color="000000"/>
            </w:tcBorders>
            <w:shd w:val="clear" w:color="auto" w:fill="auto"/>
          </w:tcPr>
          <w:p w14:paraId="4512A57D" w14:textId="77777777" w:rsidR="00311E89" w:rsidRDefault="00311E89">
            <w:r>
              <w:lastRenderedPageBreak/>
              <w:t>Vaihe 13</w:t>
            </w:r>
          </w:p>
        </w:tc>
        <w:tc>
          <w:tcPr>
            <w:tcW w:w="3647" w:type="dxa"/>
            <w:tcBorders>
              <w:top w:val="single" w:sz="2" w:space="0" w:color="000000"/>
              <w:bottom w:val="single" w:sz="2" w:space="0" w:color="000000"/>
            </w:tcBorders>
            <w:shd w:val="clear" w:color="auto" w:fill="auto"/>
          </w:tcPr>
          <w:p w14:paraId="77637BD5" w14:textId="77777777" w:rsidR="00311E89" w:rsidRDefault="00311E89">
            <w:pPr>
              <w:jc w:val="center"/>
            </w:pPr>
            <w:r>
              <w:rPr>
                <w:noProof/>
                <w:lang w:val="en-US" w:eastAsia="en-US"/>
              </w:rPr>
              <w:drawing>
                <wp:inline distT="0" distB="0" distL="0" distR="0" wp14:anchorId="4D53AD6D" wp14:editId="1E310644">
                  <wp:extent cx="1075690" cy="2049145"/>
                  <wp:effectExtent l="0" t="0" r="0" b="0"/>
                  <wp:docPr id="14" name="Kuva 17"/>
                  <wp:cNvGraphicFramePr/>
                  <a:graphic xmlns:a="http://schemas.openxmlformats.org/drawingml/2006/main">
                    <a:graphicData uri="http://schemas.openxmlformats.org/drawingml/2006/picture">
                      <pic:pic xmlns:pic="http://schemas.openxmlformats.org/drawingml/2006/picture">
                        <pic:nvPicPr>
                          <pic:cNvPr id="13" name="Kuva 17"/>
                          <pic:cNvPicPr/>
                        </pic:nvPicPr>
                        <pic:blipFill>
                          <a:blip r:embed="rId24"/>
                          <a:stretch/>
                        </pic:blipFill>
                        <pic:spPr>
                          <a:xfrm>
                            <a:off x="0" y="0"/>
                            <a:ext cx="1074960" cy="204840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5E9C0CD5" w14:textId="77777777" w:rsidR="00311E89" w:rsidRDefault="00311E89">
            <w:r>
              <w:t>Hävitä tyhjät annospussit paikallisten bioturvallisuusohjeiden mukaisesti.</w:t>
            </w:r>
          </w:p>
          <w:p w14:paraId="48542E89" w14:textId="23A52005" w:rsidR="00311E89" w:rsidRDefault="00311E89">
            <w:r>
              <w:t>Kysy lääkejätteiden hävittämisestä lääkäriltä, apteekista tai sairaanhoitajalta.</w:t>
            </w:r>
          </w:p>
        </w:tc>
      </w:tr>
      <w:tr w:rsidR="00311E89" w14:paraId="18E488C5"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2E5C3A77" w14:textId="77777777" w:rsidR="00311E89" w:rsidRDefault="00311E89">
            <w:r>
              <w:t>Vaihe 14</w:t>
            </w:r>
          </w:p>
        </w:tc>
        <w:tc>
          <w:tcPr>
            <w:tcW w:w="3647" w:type="dxa"/>
            <w:tcBorders>
              <w:top w:val="single" w:sz="2" w:space="0" w:color="000000"/>
              <w:bottom w:val="single" w:sz="2" w:space="0" w:color="000000"/>
            </w:tcBorders>
            <w:shd w:val="clear" w:color="auto" w:fill="auto"/>
          </w:tcPr>
          <w:p w14:paraId="233BA666" w14:textId="77777777" w:rsidR="00311E89" w:rsidRDefault="00311E89">
            <w:pPr>
              <w:jc w:val="center"/>
            </w:pPr>
            <w:r>
              <w:rPr>
                <w:noProof/>
                <w:lang w:val="en-US" w:eastAsia="en-US"/>
              </w:rPr>
              <w:drawing>
                <wp:inline distT="0" distB="0" distL="0" distR="0" wp14:anchorId="59CA261C" wp14:editId="3B24DDFC">
                  <wp:extent cx="1690370" cy="827405"/>
                  <wp:effectExtent l="0" t="0" r="0" b="0"/>
                  <wp:docPr id="15" name="Picture 4"/>
                  <wp:cNvGraphicFramePr/>
                  <a:graphic xmlns:a="http://schemas.openxmlformats.org/drawingml/2006/main">
                    <a:graphicData uri="http://schemas.openxmlformats.org/drawingml/2006/picture">
                      <pic:pic xmlns:pic="http://schemas.openxmlformats.org/drawingml/2006/picture">
                        <pic:nvPicPr>
                          <pic:cNvPr id="14" name="Picture 4"/>
                          <pic:cNvPicPr/>
                        </pic:nvPicPr>
                        <pic:blipFill>
                          <a:blip r:embed="rId25"/>
                          <a:stretch/>
                        </pic:blipFill>
                        <pic:spPr>
                          <a:xfrm>
                            <a:off x="0" y="0"/>
                            <a:ext cx="1689840" cy="82692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29CC2CEF" w14:textId="674CA758" w:rsidR="00311E89" w:rsidRDefault="00311E89">
            <w:r>
              <w:t>Jos lääkettä roiskuu sen sekoittamisen tai nauttimisen yhteydessä, tai jos sekoituspinnalle jää lääkejäämiä (jauhetta tai nestettä sekoitusvälineestä, kupista tai jostakin muusta esineestä), puhdista roiskeet tai jäämät mieluiten kertakäyttöisellä paperipyyhkeellä/liinalla, kuumalla vedellä ja saippualla tai bakteereja tuhoavalla desinfiointiaineella. Hävitä paperipyyhe yhdessä annospussien kanssa (ks. edellä).</w:t>
            </w:r>
          </w:p>
        </w:tc>
      </w:tr>
      <w:tr w:rsidR="00311E89" w14:paraId="6D9BB096" w14:textId="77777777" w:rsidTr="00FE7CE1">
        <w:trPr>
          <w:cantSplit/>
        </w:trPr>
        <w:tc>
          <w:tcPr>
            <w:tcW w:w="1212" w:type="dxa"/>
            <w:tcBorders>
              <w:top w:val="single" w:sz="2" w:space="0" w:color="000000"/>
              <w:left w:val="single" w:sz="2" w:space="0" w:color="000000"/>
              <w:bottom w:val="single" w:sz="2" w:space="0" w:color="000000"/>
            </w:tcBorders>
            <w:shd w:val="clear" w:color="auto" w:fill="auto"/>
          </w:tcPr>
          <w:p w14:paraId="125FAD09" w14:textId="77777777" w:rsidR="00311E89" w:rsidRDefault="00311E89">
            <w:r>
              <w:t>Vaihe 15</w:t>
            </w:r>
          </w:p>
        </w:tc>
        <w:tc>
          <w:tcPr>
            <w:tcW w:w="3647" w:type="dxa"/>
            <w:tcBorders>
              <w:top w:val="single" w:sz="2" w:space="0" w:color="000000"/>
              <w:bottom w:val="single" w:sz="2" w:space="0" w:color="000000"/>
            </w:tcBorders>
            <w:shd w:val="clear" w:color="auto" w:fill="auto"/>
          </w:tcPr>
          <w:p w14:paraId="7B7DDFF9" w14:textId="77777777" w:rsidR="00311E89" w:rsidRDefault="00311E89">
            <w:pPr>
              <w:jc w:val="center"/>
            </w:pPr>
            <w:r>
              <w:rPr>
                <w:noProof/>
                <w:lang w:val="en-US" w:eastAsia="en-US"/>
              </w:rPr>
              <w:drawing>
                <wp:inline distT="0" distB="0" distL="0" distR="0" wp14:anchorId="1064CFE9" wp14:editId="0688DC70">
                  <wp:extent cx="1353820" cy="1792605"/>
                  <wp:effectExtent l="0" t="0" r="0" b="0"/>
                  <wp:docPr id="16" name="Picture 3"/>
                  <wp:cNvGraphicFramePr/>
                  <a:graphic xmlns:a="http://schemas.openxmlformats.org/drawingml/2006/main">
                    <a:graphicData uri="http://schemas.openxmlformats.org/drawingml/2006/picture">
                      <pic:pic xmlns:pic="http://schemas.openxmlformats.org/drawingml/2006/picture">
                        <pic:nvPicPr>
                          <pic:cNvPr id="15" name="Picture 3"/>
                          <pic:cNvPicPr/>
                        </pic:nvPicPr>
                        <pic:blipFill>
                          <a:blip r:embed="rId26"/>
                          <a:stretch/>
                        </pic:blipFill>
                        <pic:spPr>
                          <a:xfrm>
                            <a:off x="0" y="0"/>
                            <a:ext cx="1353240" cy="179208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379F1955" w14:textId="0B62FB15" w:rsidR="00311E89" w:rsidRDefault="00311E89">
            <w:r>
              <w:t>Pese kuppi ja lusikka tai sekoitusväline kuumalla vedellä ja saippualla.</w:t>
            </w:r>
          </w:p>
        </w:tc>
      </w:tr>
      <w:tr w:rsidR="00311E89" w14:paraId="7CE85B77" w14:textId="77777777" w:rsidTr="00FE7CE1">
        <w:trPr>
          <w:cantSplit/>
          <w:trHeight w:val="2624"/>
        </w:trPr>
        <w:tc>
          <w:tcPr>
            <w:tcW w:w="1212" w:type="dxa"/>
            <w:tcBorders>
              <w:top w:val="single" w:sz="2" w:space="0" w:color="000000"/>
              <w:left w:val="single" w:sz="2" w:space="0" w:color="000000"/>
              <w:bottom w:val="single" w:sz="2" w:space="0" w:color="000000"/>
            </w:tcBorders>
            <w:shd w:val="clear" w:color="auto" w:fill="auto"/>
          </w:tcPr>
          <w:p w14:paraId="08D25B1D" w14:textId="77777777" w:rsidR="00311E89" w:rsidRDefault="00311E89">
            <w:r>
              <w:t>Vaihe 16</w:t>
            </w:r>
          </w:p>
        </w:tc>
        <w:tc>
          <w:tcPr>
            <w:tcW w:w="3647" w:type="dxa"/>
            <w:tcBorders>
              <w:top w:val="single" w:sz="2" w:space="0" w:color="000000"/>
              <w:bottom w:val="single" w:sz="2" w:space="0" w:color="000000"/>
            </w:tcBorders>
            <w:shd w:val="clear" w:color="auto" w:fill="auto"/>
          </w:tcPr>
          <w:p w14:paraId="08FE1B50" w14:textId="77777777" w:rsidR="00311E89" w:rsidRDefault="00311E89">
            <w:pPr>
              <w:jc w:val="center"/>
            </w:pPr>
            <w:r>
              <w:rPr>
                <w:noProof/>
                <w:lang w:val="en-US" w:eastAsia="en-US"/>
              </w:rPr>
              <w:drawing>
                <wp:inline distT="0" distB="0" distL="0" distR="0" wp14:anchorId="4B7D7068" wp14:editId="264E16B5">
                  <wp:extent cx="1134745" cy="1609725"/>
                  <wp:effectExtent l="0" t="0" r="0" b="0"/>
                  <wp:docPr id="17" name="Picture 2"/>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27"/>
                          <a:stretch/>
                        </pic:blipFill>
                        <pic:spPr>
                          <a:xfrm>
                            <a:off x="0" y="0"/>
                            <a:ext cx="1134000" cy="1609200"/>
                          </a:xfrm>
                          <a:prstGeom prst="rect">
                            <a:avLst/>
                          </a:prstGeom>
                          <a:ln>
                            <a:noFill/>
                          </a:ln>
                        </pic:spPr>
                      </pic:pic>
                    </a:graphicData>
                  </a:graphic>
                </wp:inline>
              </w:drawing>
            </w:r>
          </w:p>
        </w:tc>
        <w:tc>
          <w:tcPr>
            <w:tcW w:w="4477" w:type="dxa"/>
            <w:tcBorders>
              <w:top w:val="single" w:sz="2" w:space="0" w:color="000000"/>
              <w:bottom w:val="single" w:sz="2" w:space="0" w:color="000000"/>
              <w:right w:val="single" w:sz="4" w:space="0" w:color="auto"/>
            </w:tcBorders>
            <w:shd w:val="clear" w:color="auto" w:fill="auto"/>
          </w:tcPr>
          <w:p w14:paraId="6E9FA0CA" w14:textId="32302BE7" w:rsidR="00311E89" w:rsidRDefault="00311E89">
            <w:r>
              <w:t>Pese kädet perusteellisesti vedellä ja saippualla kontaminaation estämiseksi.</w:t>
            </w:r>
          </w:p>
        </w:tc>
      </w:tr>
    </w:tbl>
    <w:p w14:paraId="7909EE9F" w14:textId="77777777" w:rsidR="003A27D6" w:rsidRDefault="003A27D6"/>
    <w:p w14:paraId="0D14367C" w14:textId="77777777" w:rsidR="003A27D6" w:rsidRDefault="008A6308">
      <w:r>
        <w:t>Jos sinulla on kysymyksiä tämän lääkkeen käytöstä, käänny lääkärin, apteekkihenkilökunnan tai sairaanhoitajan puoleen.</w:t>
      </w:r>
    </w:p>
    <w:p w14:paraId="5B7AFC1A" w14:textId="77777777" w:rsidR="003A27D6" w:rsidRDefault="003A27D6"/>
    <w:p w14:paraId="18264F1C" w14:textId="77777777" w:rsidR="003A27D6" w:rsidRDefault="003A27D6"/>
    <w:p w14:paraId="10B59A99" w14:textId="77777777" w:rsidR="003A27D6" w:rsidRDefault="008A6308">
      <w:pPr>
        <w:pStyle w:val="Heading1"/>
      </w:pPr>
      <w:r>
        <w:t>4.</w:t>
      </w:r>
      <w:r>
        <w:tab/>
        <w:t>Mahdolliset haittavaikutukset</w:t>
      </w:r>
    </w:p>
    <w:p w14:paraId="21F8A69E" w14:textId="77777777" w:rsidR="003A27D6" w:rsidRDefault="003A27D6">
      <w:pPr>
        <w:keepNext/>
      </w:pPr>
    </w:p>
    <w:p w14:paraId="5B1CB65E" w14:textId="77777777" w:rsidR="003A27D6" w:rsidRDefault="008A6308">
      <w:r>
        <w:t>Kuten kaikki rokotteet, tämäkin rokote voi aiheuttaa haittavaikutuksia. Kaikki eivät kuitenkaan niitä saa.</w:t>
      </w:r>
    </w:p>
    <w:p w14:paraId="778D0C1C" w14:textId="77777777" w:rsidR="003A27D6" w:rsidRDefault="003A27D6"/>
    <w:p w14:paraId="791697D0" w14:textId="77777777" w:rsidR="003A27D6" w:rsidRDefault="008A6308">
      <w:r>
        <w:t>Ota välittömästi yhteys lääkäriin, jos sinulla esiintyy seuraavia vakavia haittavaikutuksia:</w:t>
      </w:r>
    </w:p>
    <w:p w14:paraId="72CAFA53" w14:textId="77777777" w:rsidR="003A27D6" w:rsidRDefault="008A6308">
      <w:pPr>
        <w:pStyle w:val="Bullet"/>
        <w:numPr>
          <w:ilvl w:val="0"/>
          <w:numId w:val="1"/>
        </w:numPr>
        <w:ind w:left="1134" w:hanging="567"/>
      </w:pPr>
      <w:r>
        <w:lastRenderedPageBreak/>
        <w:t>vakavat allergiset reaktiot, jotka voivat aiheuttaa kasvojen tai nielun turvotusta, nokkosihottumaa, kutisevaa ihottumaa, hengenahdistusta ja/tai verenpaineen laskua ja pyörtymisen.</w:t>
      </w:r>
    </w:p>
    <w:p w14:paraId="6FF2346A" w14:textId="77777777" w:rsidR="003A27D6" w:rsidRDefault="003A27D6"/>
    <w:p w14:paraId="39D1C6DC" w14:textId="77777777" w:rsidR="003A27D6" w:rsidRDefault="008A6308">
      <w:pPr>
        <w:keepNext/>
      </w:pPr>
      <w:r>
        <w:t>Muut haittavaikutukset:</w:t>
      </w:r>
    </w:p>
    <w:p w14:paraId="3FC6C59B" w14:textId="7C8BDB8F" w:rsidR="003A27D6" w:rsidRDefault="008A6308">
      <w:pPr>
        <w:keepNext/>
      </w:pPr>
      <w:r>
        <w:t>Hyvin yleiset haittavaikutukset (voi esiintyä useammalla kuin 1</w:t>
      </w:r>
      <w:r w:rsidR="001B613F">
        <w:t> </w:t>
      </w:r>
      <w:r>
        <w:t>henkilöllä 10:stä)</w:t>
      </w:r>
    </w:p>
    <w:p w14:paraId="0BB89702" w14:textId="77777777" w:rsidR="0012566C" w:rsidRDefault="0012566C">
      <w:pPr>
        <w:pStyle w:val="Bullet"/>
        <w:numPr>
          <w:ilvl w:val="0"/>
          <w:numId w:val="1"/>
        </w:numPr>
        <w:ind w:left="1134" w:hanging="567"/>
      </w:pPr>
      <w:r>
        <w:t>väsymys</w:t>
      </w:r>
    </w:p>
    <w:p w14:paraId="4797A36D" w14:textId="0734B2B6" w:rsidR="003A27D6" w:rsidRDefault="008A6308">
      <w:pPr>
        <w:pStyle w:val="Bullet"/>
        <w:numPr>
          <w:ilvl w:val="0"/>
          <w:numId w:val="1"/>
        </w:numPr>
        <w:ind w:left="1134" w:hanging="567"/>
      </w:pPr>
      <w:r>
        <w:t>päänsärky</w:t>
      </w:r>
    </w:p>
    <w:p w14:paraId="1F655774" w14:textId="77777777" w:rsidR="003A27D6" w:rsidRDefault="008A6308">
      <w:pPr>
        <w:pStyle w:val="Bullet"/>
        <w:numPr>
          <w:ilvl w:val="0"/>
          <w:numId w:val="1"/>
        </w:numPr>
        <w:ind w:left="1134" w:hanging="567"/>
      </w:pPr>
      <w:r>
        <w:t>vatsakipu</w:t>
      </w:r>
    </w:p>
    <w:p w14:paraId="0DD8C23A" w14:textId="77777777" w:rsidR="003A27D6" w:rsidRDefault="008A6308">
      <w:pPr>
        <w:pStyle w:val="Bullet"/>
        <w:numPr>
          <w:ilvl w:val="0"/>
          <w:numId w:val="1"/>
        </w:numPr>
        <w:ind w:left="1134" w:hanging="567"/>
      </w:pPr>
      <w:r>
        <w:t>pahoinvointi tai oksentelu</w:t>
      </w:r>
    </w:p>
    <w:p w14:paraId="45E1133C" w14:textId="1D35123C" w:rsidR="003A27D6" w:rsidRDefault="00F44BD5" w:rsidP="0012566C">
      <w:pPr>
        <w:pStyle w:val="Bullet"/>
        <w:numPr>
          <w:ilvl w:val="0"/>
          <w:numId w:val="1"/>
        </w:numPr>
        <w:ind w:left="1134" w:hanging="567"/>
      </w:pPr>
      <w:r>
        <w:t xml:space="preserve">heikentynyt </w:t>
      </w:r>
      <w:r w:rsidR="008A6308">
        <w:t>ruokahalu.</w:t>
      </w:r>
    </w:p>
    <w:p w14:paraId="66ABBE56" w14:textId="77777777" w:rsidR="003A27D6" w:rsidRDefault="003A27D6"/>
    <w:p w14:paraId="65B1C567" w14:textId="180947C0" w:rsidR="003A27D6" w:rsidRDefault="008A6308">
      <w:pPr>
        <w:keepNext/>
      </w:pPr>
      <w:r>
        <w:t>Yleiset haittavaikutukset (voi esiintyä enintään 1</w:t>
      </w:r>
      <w:r w:rsidR="001B613F">
        <w:t> </w:t>
      </w:r>
      <w:r>
        <w:t>henkilöllä 10:stä)</w:t>
      </w:r>
    </w:p>
    <w:p w14:paraId="6FEEEA4A" w14:textId="77777777" w:rsidR="003A27D6" w:rsidRDefault="008A6308">
      <w:pPr>
        <w:pStyle w:val="Bullet"/>
        <w:numPr>
          <w:ilvl w:val="0"/>
          <w:numId w:val="1"/>
        </w:numPr>
        <w:ind w:left="1134" w:hanging="567"/>
      </w:pPr>
      <w:r>
        <w:t>ripuli.</w:t>
      </w:r>
    </w:p>
    <w:p w14:paraId="3B9F0BF9" w14:textId="77777777" w:rsidR="003A27D6" w:rsidRDefault="003A27D6"/>
    <w:p w14:paraId="5F9B294B" w14:textId="37125892" w:rsidR="003A27D6" w:rsidRDefault="008A6308">
      <w:pPr>
        <w:keepNext/>
      </w:pPr>
      <w:r>
        <w:t>Melko harvinaiset haittavaikutukset (voi esiintyä enintään 1</w:t>
      </w:r>
      <w:r w:rsidR="001B613F">
        <w:t> </w:t>
      </w:r>
      <w:r>
        <w:t>henkilöllä 100:sta)</w:t>
      </w:r>
    </w:p>
    <w:p w14:paraId="5E8C1A48" w14:textId="55DCA3A1" w:rsidR="003A27D6" w:rsidRDefault="0012566C">
      <w:pPr>
        <w:pStyle w:val="Bullet"/>
        <w:numPr>
          <w:ilvl w:val="0"/>
          <w:numId w:val="1"/>
        </w:numPr>
        <w:ind w:left="1134" w:hanging="567"/>
      </w:pPr>
      <w:r>
        <w:t>kuume</w:t>
      </w:r>
    </w:p>
    <w:p w14:paraId="7CEC5059" w14:textId="272D6F6D" w:rsidR="0012566C" w:rsidRDefault="0012566C">
      <w:pPr>
        <w:pStyle w:val="Bullet"/>
        <w:numPr>
          <w:ilvl w:val="0"/>
          <w:numId w:val="1"/>
        </w:numPr>
        <w:ind w:left="1134" w:hanging="567"/>
      </w:pPr>
      <w:r>
        <w:t>nivelkipu</w:t>
      </w:r>
    </w:p>
    <w:p w14:paraId="69828FEF" w14:textId="33304F09" w:rsidR="0012566C" w:rsidRDefault="0012566C">
      <w:pPr>
        <w:pStyle w:val="Bullet"/>
        <w:numPr>
          <w:ilvl w:val="0"/>
          <w:numId w:val="1"/>
        </w:numPr>
        <w:ind w:left="1134" w:hanging="567"/>
      </w:pPr>
      <w:r>
        <w:t>heitehuimaus</w:t>
      </w:r>
    </w:p>
    <w:p w14:paraId="74B947C8" w14:textId="466DAA3D" w:rsidR="0012566C" w:rsidRDefault="0012566C">
      <w:pPr>
        <w:pStyle w:val="Bullet"/>
        <w:numPr>
          <w:ilvl w:val="0"/>
          <w:numId w:val="1"/>
        </w:numPr>
        <w:ind w:left="1134" w:hanging="567"/>
      </w:pPr>
      <w:r>
        <w:t>vatsan turvotus</w:t>
      </w:r>
    </w:p>
    <w:p w14:paraId="5B08DE78" w14:textId="3FFE8BF1" w:rsidR="0012566C" w:rsidRDefault="0012566C">
      <w:pPr>
        <w:pStyle w:val="Bullet"/>
        <w:numPr>
          <w:ilvl w:val="0"/>
          <w:numId w:val="1"/>
        </w:numPr>
        <w:ind w:left="1134" w:hanging="567"/>
      </w:pPr>
      <w:r>
        <w:t>ihottuma</w:t>
      </w:r>
    </w:p>
    <w:p w14:paraId="04A2AD3B" w14:textId="7F385359" w:rsidR="0012566C" w:rsidRDefault="0012566C">
      <w:pPr>
        <w:pStyle w:val="Bullet"/>
        <w:numPr>
          <w:ilvl w:val="0"/>
          <w:numId w:val="1"/>
        </w:numPr>
        <w:ind w:left="1134" w:hanging="567"/>
      </w:pPr>
      <w:r>
        <w:t>suun kuivuminen</w:t>
      </w:r>
    </w:p>
    <w:p w14:paraId="742B0114" w14:textId="5306C810" w:rsidR="0012566C" w:rsidRDefault="0012566C">
      <w:pPr>
        <w:pStyle w:val="Bullet"/>
        <w:numPr>
          <w:ilvl w:val="0"/>
          <w:numId w:val="1"/>
        </w:numPr>
        <w:ind w:left="1134" w:hanging="567"/>
      </w:pPr>
      <w:r>
        <w:t>ummetus</w:t>
      </w:r>
    </w:p>
    <w:p w14:paraId="7FF6DDE1" w14:textId="5C8061C8" w:rsidR="0012566C" w:rsidRDefault="0012566C">
      <w:pPr>
        <w:pStyle w:val="Bullet"/>
        <w:numPr>
          <w:ilvl w:val="0"/>
          <w:numId w:val="1"/>
        </w:numPr>
        <w:ind w:left="1134" w:hanging="567"/>
      </w:pPr>
      <w:r>
        <w:t>ilmavaivat</w:t>
      </w:r>
    </w:p>
    <w:p w14:paraId="18AC4BB1" w14:textId="7CA99303" w:rsidR="0012566C" w:rsidRDefault="0012566C">
      <w:pPr>
        <w:pStyle w:val="Bullet"/>
        <w:numPr>
          <w:ilvl w:val="0"/>
          <w:numId w:val="1"/>
        </w:numPr>
        <w:ind w:left="1134" w:hanging="567"/>
      </w:pPr>
      <w:r>
        <w:t>röyhtäily</w:t>
      </w:r>
    </w:p>
    <w:p w14:paraId="7CA1C204" w14:textId="172B69CF" w:rsidR="0012566C" w:rsidRDefault="0012566C">
      <w:pPr>
        <w:pStyle w:val="Bullet"/>
        <w:numPr>
          <w:ilvl w:val="0"/>
          <w:numId w:val="1"/>
        </w:numPr>
        <w:ind w:left="1134" w:hanging="567"/>
      </w:pPr>
      <w:r>
        <w:t>ruoansulatusvaivat</w:t>
      </w:r>
    </w:p>
    <w:p w14:paraId="1B4D25BB" w14:textId="0B094C29" w:rsidR="0012566C" w:rsidRDefault="0012566C">
      <w:pPr>
        <w:pStyle w:val="Bullet"/>
        <w:numPr>
          <w:ilvl w:val="0"/>
          <w:numId w:val="1"/>
        </w:numPr>
        <w:ind w:left="1134" w:hanging="567"/>
      </w:pPr>
      <w:r>
        <w:t>poikkeava uloste.</w:t>
      </w:r>
    </w:p>
    <w:p w14:paraId="09C24765" w14:textId="77777777" w:rsidR="003A27D6" w:rsidRDefault="003A27D6"/>
    <w:p w14:paraId="7D39964D" w14:textId="5F30A04D" w:rsidR="003A27D6" w:rsidRDefault="008A6308">
      <w:pPr>
        <w:keepNext/>
      </w:pPr>
      <w:r>
        <w:t>Harvinaiset haittavaikutukset (voi esiintyä enintään 1</w:t>
      </w:r>
      <w:r w:rsidR="001B613F">
        <w:t> </w:t>
      </w:r>
      <w:r>
        <w:t>henkilöllä 1 000:sta)</w:t>
      </w:r>
    </w:p>
    <w:p w14:paraId="2547F30C" w14:textId="77777777" w:rsidR="003A27D6" w:rsidRDefault="008A6308">
      <w:pPr>
        <w:pStyle w:val="Bullet"/>
        <w:numPr>
          <w:ilvl w:val="0"/>
          <w:numId w:val="1"/>
        </w:numPr>
        <w:ind w:left="1134" w:hanging="567"/>
      </w:pPr>
      <w:r>
        <w:t>vilunväristykset.</w:t>
      </w:r>
    </w:p>
    <w:p w14:paraId="5443DC90" w14:textId="77777777" w:rsidR="003A27D6" w:rsidRDefault="003A27D6"/>
    <w:p w14:paraId="1F075B86" w14:textId="2B2FFE2A" w:rsidR="0012566C" w:rsidRPr="00FE7CE1" w:rsidRDefault="0012566C">
      <w:pPr>
        <w:rPr>
          <w:u w:val="single"/>
        </w:rPr>
      </w:pPr>
      <w:r>
        <w:rPr>
          <w:u w:val="single"/>
        </w:rPr>
        <w:t>Muut haittavaikutukset lapsilla ja nuorilla</w:t>
      </w:r>
    </w:p>
    <w:p w14:paraId="2C585ABE" w14:textId="7958AC87" w:rsidR="0012566C" w:rsidRDefault="003C6B9F">
      <w:r>
        <w:t>Kliinisten tutkimusten perusteella lapsilla esiintyvien haittavaikutusten odotetaan olevan saman tyyppisiä kuin aikuisilla. Jotkin haittavaikutukset olivat yleisempiä lapsilla kuin aikuisilla; näitä olivat esimerkiksi väsymys, vatsakipu, oksentelu, ruokahalun heikentyminen ja kuume.</w:t>
      </w:r>
    </w:p>
    <w:p w14:paraId="66581D75" w14:textId="77777777" w:rsidR="0012566C" w:rsidRDefault="0012566C"/>
    <w:p w14:paraId="4A716BE9" w14:textId="77777777" w:rsidR="003A27D6" w:rsidRDefault="008A6308">
      <w:pPr>
        <w:pStyle w:val="HeadingStrong"/>
      </w:pPr>
      <w:r>
        <w:t>Haittavaikutuksista ilmoittaminen</w:t>
      </w:r>
    </w:p>
    <w:p w14:paraId="29978928" w14:textId="77777777" w:rsidR="001D063B" w:rsidRDefault="008A6308" w:rsidP="00E36A43">
      <w:pPr>
        <w:tabs>
          <w:tab w:val="left" w:pos="-720"/>
        </w:tabs>
      </w:pPr>
      <w:r>
        <w:t>Jos havaitset haittavaikutuksia, kerro niistä lääkärille, apteekkihenkilökunnalle tai sairaanhoitajalle. Tämä koskee myös sellaisia mahdollisia haittavaikutuksia, joita ei ole mainittu tässä pakkausselosteessa. Voit ilmoittaa haittavaikutuksista myös suoraan</w:t>
      </w:r>
    </w:p>
    <w:p w14:paraId="78D8DD13" w14:textId="77777777" w:rsidR="001D063B" w:rsidRDefault="001D063B" w:rsidP="00E36A43">
      <w:pPr>
        <w:tabs>
          <w:tab w:val="left" w:pos="-720"/>
        </w:tabs>
      </w:pPr>
    </w:p>
    <w:p w14:paraId="01FD2A07" w14:textId="3575876B" w:rsidR="00E36A43" w:rsidRPr="00793111" w:rsidRDefault="00E36A43" w:rsidP="00E36A43">
      <w:pPr>
        <w:tabs>
          <w:tab w:val="left" w:pos="-720"/>
        </w:tabs>
        <w:rPr>
          <w:rFonts w:eastAsia="Calibri"/>
          <w:color w:val="1F497D"/>
          <w:lang w:val="it-IT"/>
        </w:rPr>
      </w:pPr>
      <w:r w:rsidRPr="00793111">
        <w:rPr>
          <w:rFonts w:eastAsia="Calibri"/>
          <w:lang w:val="it-IT"/>
        </w:rPr>
        <w:t>www-sivusto</w:t>
      </w:r>
      <w:r w:rsidRPr="00793111">
        <w:rPr>
          <w:rFonts w:eastAsia="Calibri"/>
          <w:noProof/>
          <w:lang w:val="it-IT"/>
        </w:rPr>
        <w:t xml:space="preserve">: </w:t>
      </w:r>
      <w:hyperlink r:id="rId28" w:history="1">
        <w:r w:rsidRPr="00793111">
          <w:rPr>
            <w:rFonts w:eastAsia="Calibri"/>
            <w:color w:val="0000FF"/>
            <w:u w:val="single"/>
            <w:lang w:val="it-IT"/>
          </w:rPr>
          <w:t>www.fimea.fi</w:t>
        </w:r>
      </w:hyperlink>
    </w:p>
    <w:p w14:paraId="68420610" w14:textId="77777777" w:rsidR="00E36A43" w:rsidRPr="004A6986" w:rsidRDefault="00E36A43" w:rsidP="00E36A43">
      <w:pPr>
        <w:tabs>
          <w:tab w:val="left" w:pos="-720"/>
        </w:tabs>
        <w:rPr>
          <w:rFonts w:eastAsia="Calibri"/>
          <w:noProof/>
        </w:rPr>
      </w:pPr>
      <w:r w:rsidRPr="004A6986">
        <w:rPr>
          <w:rFonts w:eastAsia="Calibri"/>
          <w:noProof/>
        </w:rPr>
        <w:t>Lääkealan turvallisuus- ja kehittämiskeskus Fimea</w:t>
      </w:r>
    </w:p>
    <w:p w14:paraId="47EF8482" w14:textId="77777777" w:rsidR="00E36A43" w:rsidRPr="00BB06F8" w:rsidRDefault="00E36A43" w:rsidP="00E36A43">
      <w:pPr>
        <w:tabs>
          <w:tab w:val="left" w:pos="-720"/>
        </w:tabs>
        <w:rPr>
          <w:rFonts w:eastAsia="Calibri"/>
          <w:noProof/>
        </w:rPr>
      </w:pPr>
      <w:r w:rsidRPr="00BB06F8">
        <w:rPr>
          <w:rFonts w:eastAsia="Calibri"/>
          <w:noProof/>
        </w:rPr>
        <w:t>Lääkkeiden haittavaikutusrekisteri</w:t>
      </w:r>
    </w:p>
    <w:p w14:paraId="4ABB40E6" w14:textId="77777777" w:rsidR="00E36A43" w:rsidRPr="004A6986" w:rsidRDefault="00E36A43" w:rsidP="00E36A43">
      <w:pPr>
        <w:tabs>
          <w:tab w:val="left" w:pos="-720"/>
        </w:tabs>
        <w:rPr>
          <w:rFonts w:eastAsia="Calibri"/>
          <w:noProof/>
        </w:rPr>
      </w:pPr>
      <w:r w:rsidRPr="004A6986">
        <w:rPr>
          <w:rFonts w:eastAsia="Calibri"/>
          <w:noProof/>
        </w:rPr>
        <w:t>PL 55</w:t>
      </w:r>
    </w:p>
    <w:p w14:paraId="0BC7A945" w14:textId="77777777" w:rsidR="001D063B" w:rsidRDefault="00E36A43" w:rsidP="00E36A43">
      <w:pPr>
        <w:tabs>
          <w:tab w:val="left" w:pos="-720"/>
        </w:tabs>
      </w:pPr>
      <w:r w:rsidRPr="004A6986">
        <w:rPr>
          <w:rFonts w:eastAsia="Calibri"/>
          <w:noProof/>
        </w:rPr>
        <w:t>00034 FIME</w:t>
      </w:r>
      <w:r>
        <w:rPr>
          <w:rFonts w:eastAsia="Calibri"/>
          <w:noProof/>
        </w:rPr>
        <w:t>A</w:t>
      </w:r>
    </w:p>
    <w:p w14:paraId="1E7EE269" w14:textId="77777777" w:rsidR="001D063B" w:rsidRDefault="001D063B" w:rsidP="00E36A43">
      <w:pPr>
        <w:tabs>
          <w:tab w:val="left" w:pos="-720"/>
        </w:tabs>
      </w:pPr>
    </w:p>
    <w:p w14:paraId="7C459D30" w14:textId="05B57CBC" w:rsidR="003A27D6" w:rsidRPr="00E36A43" w:rsidRDefault="008A6308" w:rsidP="00E36A43">
      <w:pPr>
        <w:tabs>
          <w:tab w:val="left" w:pos="-720"/>
        </w:tabs>
        <w:rPr>
          <w:rFonts w:eastAsia="Calibri"/>
          <w:noProof/>
        </w:rPr>
      </w:pPr>
      <w:r>
        <w:t>Ilmoittamalla haittavaikutuksista voit auttaa saamaan enemmän tietoa tämän lääkevalmisteen turvallisuudesta.</w:t>
      </w:r>
    </w:p>
    <w:p w14:paraId="15AC2896" w14:textId="77777777" w:rsidR="003A27D6" w:rsidRDefault="003A27D6"/>
    <w:p w14:paraId="089DB692" w14:textId="77777777" w:rsidR="003A27D6" w:rsidRDefault="003A27D6"/>
    <w:p w14:paraId="2571BBBC" w14:textId="77777777" w:rsidR="003A27D6" w:rsidRDefault="008A6308">
      <w:pPr>
        <w:pStyle w:val="Heading1"/>
      </w:pPr>
      <w:r>
        <w:t>5.</w:t>
      </w:r>
      <w:r>
        <w:tab/>
        <w:t>Vaxchoran säilyttäminen</w:t>
      </w:r>
    </w:p>
    <w:p w14:paraId="173BD3B8" w14:textId="77777777" w:rsidR="003A27D6" w:rsidRDefault="003A27D6">
      <w:pPr>
        <w:keepNext/>
      </w:pPr>
    </w:p>
    <w:p w14:paraId="6D360B10" w14:textId="77777777" w:rsidR="003A27D6" w:rsidRDefault="008A6308">
      <w:r>
        <w:t>Ei lasten ulottuville eikä näkyville.</w:t>
      </w:r>
    </w:p>
    <w:p w14:paraId="4D53611E" w14:textId="77777777" w:rsidR="003A27D6" w:rsidRDefault="003A27D6"/>
    <w:p w14:paraId="12C1A2EE" w14:textId="03AC370C" w:rsidR="003A27D6" w:rsidRDefault="008A6308">
      <w:r>
        <w:t xml:space="preserve">Älä käytä tätä </w:t>
      </w:r>
      <w:r w:rsidR="003C6B9F">
        <w:t xml:space="preserve">rokotetta </w:t>
      </w:r>
      <w:r>
        <w:t>pakkauksessa mainitun viimeisen käyttöpäivämäärän jälkeen. Viimeinen käyttöpäivämäärä tarkoittaa kuukauden viimeistä päivää.</w:t>
      </w:r>
    </w:p>
    <w:p w14:paraId="29942E93" w14:textId="77777777" w:rsidR="003A27D6" w:rsidRDefault="003A27D6"/>
    <w:p w14:paraId="34CB7407" w14:textId="00C86A48" w:rsidR="003A27D6" w:rsidRDefault="008A6308">
      <w:r>
        <w:t>Säilytä jääkaapissa (2</w:t>
      </w:r>
      <w:r w:rsidR="00B81B4C">
        <w:t> </w:t>
      </w:r>
      <w:r>
        <w:t>°C –</w:t>
      </w:r>
      <w:r w:rsidR="001B613F">
        <w:t> </w:t>
      </w:r>
      <w:r>
        <w:t>8</w:t>
      </w:r>
      <w:r w:rsidR="00B81B4C">
        <w:t> </w:t>
      </w:r>
      <w:r>
        <w:t>°C).</w:t>
      </w:r>
    </w:p>
    <w:p w14:paraId="7C2EF3FA" w14:textId="1E8D2457" w:rsidR="003A27D6" w:rsidRDefault="008A6308">
      <w:r>
        <w:t>Säilytä alkuperäispakkauksessa.</w:t>
      </w:r>
      <w:r w:rsidR="003C6B9F">
        <w:t xml:space="preserve"> Herkkä valolle ja kosteudelle.</w:t>
      </w:r>
    </w:p>
    <w:p w14:paraId="3052A9F1" w14:textId="23A1F1FF" w:rsidR="003A27D6" w:rsidRDefault="008A6308">
      <w:r>
        <w:t xml:space="preserve">Alkuperäispakkauksessa säilytettynä </w:t>
      </w:r>
      <w:r w:rsidR="003C6B9F">
        <w:t xml:space="preserve">rokote </w:t>
      </w:r>
      <w:r>
        <w:t>pysyy stabiilina 25</w:t>
      </w:r>
      <w:r w:rsidR="00B81B4C">
        <w:t> </w:t>
      </w:r>
      <w:r>
        <w:t xml:space="preserve">°C:n lämpötilassa enintään 12 tunnin ajan. </w:t>
      </w:r>
      <w:r w:rsidR="003C6B9F">
        <w:t xml:space="preserve">Tämän ajanjakson lopussa rokote on käytettävä välittömästi tai hävitettävä. </w:t>
      </w:r>
      <w:r>
        <w:t>Älä altista Vaxchoraa yli 25</w:t>
      </w:r>
      <w:r w:rsidR="00B81B4C">
        <w:t> </w:t>
      </w:r>
      <w:r>
        <w:t>°C:n lämpötiloille.</w:t>
      </w:r>
    </w:p>
    <w:p w14:paraId="6E4E6095" w14:textId="77777777" w:rsidR="003A27D6" w:rsidRDefault="003A27D6"/>
    <w:p w14:paraId="4FDC32C2" w14:textId="77777777" w:rsidR="003A27D6" w:rsidRDefault="008A6308">
      <w:r>
        <w:t>Jos huomaat, että annospussit ovat vahingoittuneita, älä käytä tätä rokotetta vaan ota yhteys lääkäriin, apteekkihenkilökuntaan tai sairaanhoitajaan ja pyydä heiltä uusi annos.</w:t>
      </w:r>
    </w:p>
    <w:p w14:paraId="4D94156A" w14:textId="77777777" w:rsidR="003A27D6" w:rsidRDefault="003A27D6"/>
    <w:p w14:paraId="450674A6" w14:textId="77777777" w:rsidR="003A27D6" w:rsidRDefault="008A6308">
      <w:r>
        <w:t>Tämä lääke sisältää muuntogeenisiä organismeja. Käyttämättömien lääkkeiden ja jätteen hävittämisessä on noudatettava paikallisia bioturvallisuusohjeita. Kysy käyttämättömien lääkkeiden ja jätteen hävittämisestä lääkäriltä, apteekista tai sairaanhoitajalta.</w:t>
      </w:r>
    </w:p>
    <w:p w14:paraId="23B5E8C9" w14:textId="77777777" w:rsidR="003A27D6" w:rsidRDefault="003A27D6"/>
    <w:p w14:paraId="14B030C0" w14:textId="77777777" w:rsidR="003A27D6" w:rsidRDefault="003A27D6"/>
    <w:p w14:paraId="464B0566" w14:textId="77777777" w:rsidR="003A27D6" w:rsidRDefault="008A6308">
      <w:pPr>
        <w:pStyle w:val="Heading1"/>
      </w:pPr>
      <w:r>
        <w:t>6.</w:t>
      </w:r>
      <w:r>
        <w:tab/>
        <w:t>Pakkauksen sisältö ja muuta tietoa</w:t>
      </w:r>
    </w:p>
    <w:p w14:paraId="471AF71E" w14:textId="77777777" w:rsidR="003A27D6" w:rsidRDefault="003A27D6">
      <w:pPr>
        <w:keepNext/>
      </w:pPr>
    </w:p>
    <w:p w14:paraId="7087044D" w14:textId="77777777" w:rsidR="003A27D6" w:rsidRDefault="008A6308">
      <w:pPr>
        <w:pStyle w:val="HeadingStrong"/>
      </w:pPr>
      <w:r>
        <w:t>Mitä Vaxchora sisältää</w:t>
      </w:r>
    </w:p>
    <w:p w14:paraId="06BCE5FA" w14:textId="0C0C0103" w:rsidR="003A27D6" w:rsidRDefault="008A6308">
      <w:pPr>
        <w:pStyle w:val="Bullet-"/>
        <w:numPr>
          <w:ilvl w:val="0"/>
          <w:numId w:val="2"/>
        </w:numPr>
      </w:pPr>
      <w:r>
        <w:t>Yksi annos sisältää 4 ×</w:t>
      </w:r>
      <w:r w:rsidR="00B81B4C">
        <w:t> </w:t>
      </w:r>
      <w:r>
        <w:t>10</w:t>
      </w:r>
      <w:r>
        <w:rPr>
          <w:rStyle w:val="Superscript"/>
        </w:rPr>
        <w:t>8</w:t>
      </w:r>
      <w:r>
        <w:t> – 2 ×</w:t>
      </w:r>
      <w:r w:rsidR="00B81B4C">
        <w:t> </w:t>
      </w:r>
      <w:r>
        <w:t>10</w:t>
      </w:r>
      <w:r>
        <w:rPr>
          <w:rStyle w:val="Superscript"/>
        </w:rPr>
        <w:t>9</w:t>
      </w:r>
      <w:r>
        <w:t xml:space="preserve"> elinkelpoista solua </w:t>
      </w:r>
      <w:r>
        <w:rPr>
          <w:rStyle w:val="Painotus"/>
        </w:rPr>
        <w:t>V</w:t>
      </w:r>
      <w:r w:rsidR="003C6B9F">
        <w:rPr>
          <w:rStyle w:val="Painotus"/>
        </w:rPr>
        <w:t>ibrio</w:t>
      </w:r>
      <w:r>
        <w:t> </w:t>
      </w:r>
      <w:r>
        <w:rPr>
          <w:rStyle w:val="Painotus"/>
        </w:rPr>
        <w:t>cholerae</w:t>
      </w:r>
      <w:r>
        <w:t xml:space="preserve"> -kannasta CVD 103-HgR</w:t>
      </w:r>
      <w:r w:rsidR="003C6B9F" w:rsidRPr="00FE7CE1">
        <w:rPr>
          <w:vertAlign w:val="superscript"/>
        </w:rPr>
        <w:t>1</w:t>
      </w:r>
      <w:r>
        <w:t>.</w:t>
      </w:r>
    </w:p>
    <w:p w14:paraId="17CF5FCB" w14:textId="4741191E" w:rsidR="003A27D6" w:rsidRDefault="008A6308">
      <w:pPr>
        <w:pStyle w:val="Bullet-"/>
        <w:numPr>
          <w:ilvl w:val="0"/>
          <w:numId w:val="2"/>
        </w:numPr>
      </w:pPr>
      <w:r>
        <w:t>Muut aineet ovat sakkaroosi, hydrolysoitu kaseiini, askorbiinihappo, laktoosi, natriumbikarbonaatti ja natriumkarbonaatti</w:t>
      </w:r>
      <w:r w:rsidR="003C6B9F">
        <w:t xml:space="preserve"> (ks. kohta 2 ”Vaxchora sisältää laktoosia, sakkaroosia ja natriumia</w:t>
      </w:r>
      <w:r w:rsidR="001B613F">
        <w:t>”</w:t>
      </w:r>
      <w:r w:rsidR="003C6B9F">
        <w:t>)</w:t>
      </w:r>
      <w:r>
        <w:t>.</w:t>
      </w:r>
    </w:p>
    <w:p w14:paraId="099ABC86" w14:textId="77777777" w:rsidR="003A27D6" w:rsidRDefault="008A6308">
      <w:pPr>
        <w:pStyle w:val="Bullet-"/>
        <w:numPr>
          <w:ilvl w:val="0"/>
          <w:numId w:val="2"/>
        </w:numPr>
      </w:pPr>
      <w:r>
        <w:t>Tämä rokote sisältää muuntogeenisiä organismeja (GMO).</w:t>
      </w:r>
    </w:p>
    <w:p w14:paraId="103F28FD" w14:textId="77777777" w:rsidR="003A27D6" w:rsidRDefault="003A27D6"/>
    <w:p w14:paraId="1D078B42" w14:textId="5437F332" w:rsidR="003C6B9F" w:rsidRDefault="003C6B9F">
      <w:r>
        <w:rPr>
          <w:rStyle w:val="Superscript"/>
        </w:rPr>
        <w:t>1</w:t>
      </w:r>
      <w:r>
        <w:t xml:space="preserve"> Tuotettu yhdistelmä-DNA-tekniikalla.</w:t>
      </w:r>
    </w:p>
    <w:p w14:paraId="65E4832D" w14:textId="77777777" w:rsidR="003C6B9F" w:rsidRDefault="003C6B9F"/>
    <w:p w14:paraId="62143040" w14:textId="77777777" w:rsidR="003A27D6" w:rsidRDefault="008A6308">
      <w:pPr>
        <w:pStyle w:val="HeadingStrong"/>
      </w:pPr>
      <w:r>
        <w:t>Lääkevalmisteen kuvaus ja pakkauskoko</w:t>
      </w:r>
    </w:p>
    <w:p w14:paraId="3B8BE5E3" w14:textId="438F90FA" w:rsidR="003A27D6" w:rsidRDefault="003C6B9F">
      <w:r>
        <w:t>Yksi annos Vaxchora-porejauhetta ja jauhetta oraalisuspensiota varten toimitetaan p</w:t>
      </w:r>
      <w:r w:rsidR="008A6308">
        <w:t>ahvikotelo</w:t>
      </w:r>
      <w:r>
        <w:t>ssa, joka</w:t>
      </w:r>
      <w:r w:rsidR="008A6308">
        <w:t xml:space="preserve"> sisältää kaksi annospussia. Ensimmäinen annospussi sisältää valkoista tai lähes valkoista puskuria eli natriumvetykarbonaattia porejauheena. Toinen annospussi sisältää valkoista tai beigeä rokotejauhetta</w:t>
      </w:r>
      <w:r>
        <w:t xml:space="preserve"> oraalisuspensiota varten</w:t>
      </w:r>
      <w:r w:rsidR="008A6308">
        <w:t>, joka sisältää vaikuttavan aineen.</w:t>
      </w:r>
    </w:p>
    <w:p w14:paraId="00FEF8C1" w14:textId="77777777" w:rsidR="003A27D6" w:rsidRDefault="003A27D6"/>
    <w:p w14:paraId="5099BBEF" w14:textId="77777777" w:rsidR="003A27D6" w:rsidRPr="00B81B4C" w:rsidRDefault="008A6308">
      <w:pPr>
        <w:pStyle w:val="HeadingStrong"/>
      </w:pPr>
      <w:r w:rsidRPr="00B81B4C">
        <w:t>Myyntiluvan haltija</w:t>
      </w:r>
    </w:p>
    <w:p w14:paraId="34CBA607" w14:textId="77777777" w:rsidR="003A27D6" w:rsidRPr="00B81B4C" w:rsidRDefault="003A27D6">
      <w:pPr>
        <w:keepNext/>
      </w:pPr>
    </w:p>
    <w:p w14:paraId="03AD368F" w14:textId="4F155F4E" w:rsidR="003A27D6" w:rsidRPr="00B81B4C" w:rsidRDefault="00421E0E">
      <w:r w:rsidRPr="00B81B4C">
        <w:rPr>
          <w:noProof/>
        </w:rPr>
        <w:t>Bavarian Nordic A/S, Philip Heymans Alle 3, DK-2900 Hellerup, Tanska</w:t>
      </w:r>
      <w:r w:rsidR="008A6308" w:rsidRPr="00B81B4C">
        <w:t>.</w:t>
      </w:r>
    </w:p>
    <w:p w14:paraId="2712C186" w14:textId="77777777" w:rsidR="003A27D6" w:rsidRPr="00B81B4C" w:rsidRDefault="003A27D6"/>
    <w:p w14:paraId="159706A7" w14:textId="77777777" w:rsidR="003A27D6" w:rsidRPr="00FE7CE1" w:rsidRDefault="008A6308">
      <w:pPr>
        <w:pStyle w:val="HeadingStrong"/>
      </w:pPr>
      <w:r w:rsidRPr="00FE7CE1">
        <w:t>Valmistaja</w:t>
      </w:r>
    </w:p>
    <w:p w14:paraId="5DE6E765" w14:textId="77777777" w:rsidR="003A27D6" w:rsidRPr="00FE7CE1" w:rsidRDefault="003A27D6">
      <w:pPr>
        <w:keepNext/>
      </w:pPr>
    </w:p>
    <w:p w14:paraId="7E47E667" w14:textId="77777777" w:rsidR="003A27D6" w:rsidRPr="00FE7CE1" w:rsidRDefault="008A6308">
      <w:pPr>
        <w:keepNext/>
      </w:pPr>
      <w:r w:rsidRPr="00FE7CE1">
        <w:t>IL-CSM GmbH</w:t>
      </w:r>
    </w:p>
    <w:p w14:paraId="275F0005" w14:textId="77777777" w:rsidR="003A27D6" w:rsidRPr="00FE7CE1" w:rsidRDefault="008A6308">
      <w:pPr>
        <w:keepNext/>
      </w:pPr>
      <w:r w:rsidRPr="00FE7CE1">
        <w:t>Marie-Curie-Strasse 8</w:t>
      </w:r>
    </w:p>
    <w:p w14:paraId="02908A60" w14:textId="77777777" w:rsidR="003A27D6" w:rsidRPr="00421E0E" w:rsidRDefault="008A6308">
      <w:pPr>
        <w:keepNext/>
      </w:pPr>
      <w:r w:rsidRPr="00421E0E">
        <w:t>D</w:t>
      </w:r>
      <w:r w:rsidRPr="00421E0E">
        <w:noBreakHyphen/>
        <w:t>79539 Lörrach</w:t>
      </w:r>
    </w:p>
    <w:p w14:paraId="7E192E15" w14:textId="77777777" w:rsidR="003A27D6" w:rsidRDefault="008A6308">
      <w:r>
        <w:t>Saksa</w:t>
      </w:r>
    </w:p>
    <w:p w14:paraId="2709D817" w14:textId="77777777" w:rsidR="003A27D6" w:rsidRDefault="003A27D6"/>
    <w:p w14:paraId="3FB3A985" w14:textId="58F79860" w:rsidR="003A27D6" w:rsidRDefault="008A6308">
      <w:pPr>
        <w:pStyle w:val="HeadingStrong"/>
      </w:pPr>
      <w:r>
        <w:t>Tämä pakkausseloste on tarkistettu viimeksi</w:t>
      </w:r>
      <w:r w:rsidR="001D063B">
        <w:t xml:space="preserve"> 01</w:t>
      </w:r>
      <w:r w:rsidR="00526172">
        <w:t>.</w:t>
      </w:r>
      <w:r w:rsidR="001D063B">
        <w:t>2025</w:t>
      </w:r>
      <w:r w:rsidR="00526172">
        <w:t>.</w:t>
      </w:r>
    </w:p>
    <w:p w14:paraId="6A7B31E0" w14:textId="77777777" w:rsidR="003A27D6" w:rsidRDefault="003A27D6"/>
    <w:p w14:paraId="1335410F" w14:textId="77777777" w:rsidR="003A27D6" w:rsidRDefault="008A6308">
      <w:pPr>
        <w:pStyle w:val="HeadingStrong"/>
      </w:pPr>
      <w:r>
        <w:t>Muut tiedonlähteet</w:t>
      </w:r>
    </w:p>
    <w:p w14:paraId="7D0D9863" w14:textId="77777777" w:rsidR="003A27D6" w:rsidRDefault="003A27D6"/>
    <w:p w14:paraId="0D9C1A29" w14:textId="51A329BA" w:rsidR="003A27D6" w:rsidRDefault="008A6308">
      <w:r>
        <w:t xml:space="preserve">Lisätietoa tästä lääkevalmisteesta on saatavilla Euroopan lääkeviraston verkkosivulla </w:t>
      </w:r>
      <w:hyperlink r:id="rId29" w:history="1">
        <w:r w:rsidR="003C6B9F" w:rsidRPr="008D24A1">
          <w:rPr>
            <w:rStyle w:val="Hyperlink"/>
          </w:rPr>
          <w:t>https://www.ema.europa.eu</w:t>
        </w:r>
      </w:hyperlink>
      <w:r>
        <w:t>.</w:t>
      </w:r>
    </w:p>
    <w:p w14:paraId="38A444AD" w14:textId="77777777" w:rsidR="003A27D6" w:rsidRDefault="003A27D6"/>
    <w:p w14:paraId="10EB7A04" w14:textId="2AE8E65E" w:rsidR="003A27D6" w:rsidRDefault="003A27D6"/>
    <w:sectPr w:rsidR="003A27D6">
      <w:headerReference w:type="even" r:id="rId30"/>
      <w:headerReference w:type="default" r:id="rId31"/>
      <w:footerReference w:type="even" r:id="rId32"/>
      <w:footerReference w:type="default" r:id="rId33"/>
      <w:headerReference w:type="first" r:id="rId34"/>
      <w:footerReference w:type="first" r:id="rId35"/>
      <w:pgSz w:w="11906" w:h="16838"/>
      <w:pgMar w:top="1138" w:right="1411" w:bottom="1138" w:left="1411" w:header="0" w:footer="7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0A68" w14:textId="77777777" w:rsidR="007D7FF8" w:rsidRDefault="007D7FF8">
      <w:r>
        <w:separator/>
      </w:r>
    </w:p>
  </w:endnote>
  <w:endnote w:type="continuationSeparator" w:id="0">
    <w:p w14:paraId="6AA04A9D" w14:textId="77777777" w:rsidR="007D7FF8" w:rsidRDefault="007D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F86" w14:textId="77777777" w:rsidR="001F68DC" w:rsidRDefault="001F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2FC" w14:textId="4484CF78" w:rsidR="001F68DC" w:rsidRDefault="001F68DC">
    <w:pPr>
      <w:pStyle w:val="Footer"/>
    </w:pPr>
    <w:r>
      <w:fldChar w:fldCharType="begin"/>
    </w:r>
    <w:r>
      <w:instrText>PAGE \* ARABIC</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79BD" w14:textId="77777777" w:rsidR="001F68DC" w:rsidRDefault="001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0E71" w14:textId="77777777" w:rsidR="007D7FF8" w:rsidRDefault="007D7FF8">
      <w:r>
        <w:separator/>
      </w:r>
    </w:p>
  </w:footnote>
  <w:footnote w:type="continuationSeparator" w:id="0">
    <w:p w14:paraId="6F491591" w14:textId="77777777" w:rsidR="007D7FF8" w:rsidRDefault="007D7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EC8E" w14:textId="77777777" w:rsidR="001F68DC" w:rsidRDefault="001F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61D7" w14:textId="77777777" w:rsidR="001F68DC" w:rsidRDefault="001F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D254" w14:textId="77777777" w:rsidR="001F68DC" w:rsidRDefault="001F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212"/>
    <w:multiLevelType w:val="multilevel"/>
    <w:tmpl w:val="789A1E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8E32EC"/>
    <w:multiLevelType w:val="multilevel"/>
    <w:tmpl w:val="A1DC0C2A"/>
    <w:lvl w:ilvl="0">
      <w:start w:val="1"/>
      <w:numFmt w:val="bullet"/>
      <w:lvlText w:val="o"/>
      <w:lvlJc w:val="left"/>
      <w:pPr>
        <w:ind w:left="1134" w:hanging="567"/>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A6F111E"/>
    <w:multiLevelType w:val="multilevel"/>
    <w:tmpl w:val="D9E22CCA"/>
    <w:lvl w:ilvl="0">
      <w:start w:val="1"/>
      <w:numFmt w:val="bullet"/>
      <w:lvlText w:val="o"/>
      <w:lvlJc w:val="left"/>
      <w:pPr>
        <w:ind w:left="1134" w:hanging="567"/>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0851F68"/>
    <w:multiLevelType w:val="multilevel"/>
    <w:tmpl w:val="2808209E"/>
    <w:lvl w:ilvl="0">
      <w:start w:val="1"/>
      <w:numFmt w:val="bullet"/>
      <w:lvlText w:val="•"/>
      <w:lvlJc w:val="left"/>
      <w:pPr>
        <w:ind w:left="562" w:hanging="562"/>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4DC21EA"/>
    <w:multiLevelType w:val="multilevel"/>
    <w:tmpl w:val="0476856A"/>
    <w:lvl w:ilvl="0">
      <w:start w:val="1"/>
      <w:numFmt w:val="bullet"/>
      <w:lvlText w:val="-"/>
      <w:lvlJc w:val="left"/>
      <w:pPr>
        <w:ind w:left="562" w:hanging="562"/>
      </w:pPr>
      <w:rPr>
        <w:rFonts w:hint="default"/>
        <w:b w:val="0"/>
        <w:i w:val="0"/>
        <w:caps w:val="0"/>
        <w:smallCaps w:val="0"/>
        <w:strike w:val="0"/>
        <w:dstrike w:val="0"/>
        <w:vanish w:val="0"/>
        <w:color w:val="auto"/>
        <w:spacing w:val="0"/>
        <w:w w:val="100"/>
        <w:kern w:val="0"/>
        <w:position w:val="0"/>
        <w:sz w:val="22"/>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E3101B7"/>
    <w:multiLevelType w:val="multilevel"/>
    <w:tmpl w:val="D66C925C"/>
    <w:lvl w:ilvl="0">
      <w:start w:val="1"/>
      <w:numFmt w:val="bullet"/>
      <w:lvlText w:val="–"/>
      <w:lvlJc w:val="left"/>
      <w:pPr>
        <w:ind w:left="562" w:hanging="562"/>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6748365">
    <w:abstractNumId w:val="3"/>
  </w:num>
  <w:num w:numId="2" w16cid:durableId="639112180">
    <w:abstractNumId w:val="5"/>
  </w:num>
  <w:num w:numId="3" w16cid:durableId="1063797259">
    <w:abstractNumId w:val="1"/>
  </w:num>
  <w:num w:numId="4" w16cid:durableId="748311065">
    <w:abstractNumId w:val="2"/>
  </w:num>
  <w:num w:numId="5" w16cid:durableId="1782146205">
    <w:abstractNumId w:val="0"/>
  </w:num>
  <w:num w:numId="6" w16cid:durableId="24141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13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D6"/>
    <w:rsid w:val="0002317A"/>
    <w:rsid w:val="000254CE"/>
    <w:rsid w:val="00085B28"/>
    <w:rsid w:val="000E24ED"/>
    <w:rsid w:val="0012566C"/>
    <w:rsid w:val="001B0D2A"/>
    <w:rsid w:val="001B613F"/>
    <w:rsid w:val="001D063B"/>
    <w:rsid w:val="001F68DC"/>
    <w:rsid w:val="00202761"/>
    <w:rsid w:val="002506F4"/>
    <w:rsid w:val="00262B78"/>
    <w:rsid w:val="00287692"/>
    <w:rsid w:val="0029286E"/>
    <w:rsid w:val="002D3A25"/>
    <w:rsid w:val="00311E89"/>
    <w:rsid w:val="003355E1"/>
    <w:rsid w:val="00373BF9"/>
    <w:rsid w:val="003A27D6"/>
    <w:rsid w:val="003C6B9F"/>
    <w:rsid w:val="003D1AA6"/>
    <w:rsid w:val="00417492"/>
    <w:rsid w:val="00421E0E"/>
    <w:rsid w:val="00422F03"/>
    <w:rsid w:val="00484C96"/>
    <w:rsid w:val="004A5172"/>
    <w:rsid w:val="00525825"/>
    <w:rsid w:val="00526172"/>
    <w:rsid w:val="005E2A91"/>
    <w:rsid w:val="005F0BEC"/>
    <w:rsid w:val="005F1223"/>
    <w:rsid w:val="00604704"/>
    <w:rsid w:val="0061088F"/>
    <w:rsid w:val="00664036"/>
    <w:rsid w:val="00671040"/>
    <w:rsid w:val="00686703"/>
    <w:rsid w:val="00697011"/>
    <w:rsid w:val="006D7BE6"/>
    <w:rsid w:val="00763CD3"/>
    <w:rsid w:val="007926AE"/>
    <w:rsid w:val="007C5879"/>
    <w:rsid w:val="007D2D99"/>
    <w:rsid w:val="007D7FF8"/>
    <w:rsid w:val="007E540E"/>
    <w:rsid w:val="007F3F03"/>
    <w:rsid w:val="00812E6C"/>
    <w:rsid w:val="00826591"/>
    <w:rsid w:val="00897BC7"/>
    <w:rsid w:val="008A4E86"/>
    <w:rsid w:val="008A6308"/>
    <w:rsid w:val="008E40D3"/>
    <w:rsid w:val="008F0406"/>
    <w:rsid w:val="008F311A"/>
    <w:rsid w:val="0090449D"/>
    <w:rsid w:val="00933B0E"/>
    <w:rsid w:val="00967D0D"/>
    <w:rsid w:val="009975E1"/>
    <w:rsid w:val="009B079C"/>
    <w:rsid w:val="009B6A3E"/>
    <w:rsid w:val="009E7ABA"/>
    <w:rsid w:val="009F436F"/>
    <w:rsid w:val="009F6C6D"/>
    <w:rsid w:val="00A041CA"/>
    <w:rsid w:val="00A263B3"/>
    <w:rsid w:val="00AA47E3"/>
    <w:rsid w:val="00AC7269"/>
    <w:rsid w:val="00AD40D9"/>
    <w:rsid w:val="00B309FA"/>
    <w:rsid w:val="00B31BB0"/>
    <w:rsid w:val="00B72B56"/>
    <w:rsid w:val="00B81B4C"/>
    <w:rsid w:val="00BB1B18"/>
    <w:rsid w:val="00BC05CD"/>
    <w:rsid w:val="00BD51B2"/>
    <w:rsid w:val="00C10824"/>
    <w:rsid w:val="00C834FF"/>
    <w:rsid w:val="00C861EF"/>
    <w:rsid w:val="00CA00E5"/>
    <w:rsid w:val="00CC464F"/>
    <w:rsid w:val="00D272F5"/>
    <w:rsid w:val="00D568C7"/>
    <w:rsid w:val="00DE2660"/>
    <w:rsid w:val="00E06BCC"/>
    <w:rsid w:val="00E175F6"/>
    <w:rsid w:val="00E36A43"/>
    <w:rsid w:val="00E566C0"/>
    <w:rsid w:val="00EF0B89"/>
    <w:rsid w:val="00F35DBD"/>
    <w:rsid w:val="00F44BD5"/>
    <w:rsid w:val="00F72A2E"/>
    <w:rsid w:val="00FB57D0"/>
    <w:rsid w:val="00FC22CA"/>
    <w:rsid w:val="00FD020F"/>
    <w:rsid w:val="00FD05C0"/>
    <w:rsid w:val="00FE7CE1"/>
    <w:rsid w:val="00FF3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91FD1"/>
  <w15:docId w15:val="{222B28C5-96C7-429D-BF9C-F012ABF9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hAnsi="Times New Roman"/>
      <w:sz w:val="22"/>
      <w:szCs w:val="22"/>
      <w:lang w:val="fi-FI" w:eastAsia="zh-CN"/>
    </w:rPr>
  </w:style>
  <w:style w:type="paragraph" w:styleId="Heading1">
    <w:name w:val="heading 1"/>
    <w:basedOn w:val="Normal"/>
    <w:next w:val="NormalKeep"/>
    <w:link w:val="Heading1Char"/>
    <w:uiPriority w:val="9"/>
    <w:qFormat/>
    <w:pPr>
      <w:keepNext/>
      <w:keepLines/>
      <w:ind w:left="561" w:hanging="561"/>
      <w:outlineLvl w:val="0"/>
    </w:pPr>
    <w:rPr>
      <w:b/>
      <w:bCs/>
    </w:rPr>
  </w:style>
  <w:style w:type="paragraph" w:styleId="Heading2">
    <w:name w:val="heading 2"/>
    <w:basedOn w:val="Normal"/>
    <w:next w:val="NormalKeep"/>
    <w:link w:val="Heading2Char"/>
    <w:uiPriority w:val="9"/>
    <w:unhideWhenUsed/>
    <w:qFormat/>
    <w:pPr>
      <w:keepNext/>
      <w:keepLines/>
      <w:ind w:left="562" w:hanging="562"/>
      <w:outlineLvl w:val="1"/>
    </w:pPr>
    <w:rPr>
      <w:b/>
      <w:bCs/>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locked/>
    <w:rPr>
      <w:rFonts w:ascii="Times New Roman" w:hAnsi="Times New Roman"/>
      <w:b/>
      <w:bCs/>
      <w:sz w:val="22"/>
      <w:szCs w:val="22"/>
      <w:lang w:val="fi-FI"/>
    </w:rPr>
  </w:style>
  <w:style w:type="character" w:customStyle="1" w:styleId="HeaderChar">
    <w:name w:val="Header Char"/>
    <w:link w:val="Header"/>
    <w:uiPriority w:val="99"/>
    <w:qFormat/>
    <w:locked/>
    <w:rPr>
      <w:rFonts w:ascii="Times New Roman" w:hAnsi="Times New Roman"/>
      <w:sz w:val="22"/>
    </w:rPr>
  </w:style>
  <w:style w:type="character" w:customStyle="1" w:styleId="FooterChar">
    <w:name w:val="Footer Char"/>
    <w:link w:val="Footer"/>
    <w:uiPriority w:val="99"/>
    <w:qFormat/>
    <w:locked/>
    <w:rPr>
      <w:rFonts w:ascii="Arial" w:hAnsi="Arial" w:cs="Arial"/>
      <w:sz w:val="16"/>
      <w:szCs w:val="16"/>
      <w:lang w:val="fi-FI"/>
    </w:rPr>
  </w:style>
  <w:style w:type="character" w:customStyle="1" w:styleId="Painotus">
    <w:name w:val="Painotus"/>
    <w:uiPriority w:val="20"/>
    <w:qFormat/>
    <w:rPr>
      <w:i/>
      <w:iCs/>
    </w:rPr>
  </w:style>
  <w:style w:type="character" w:customStyle="1" w:styleId="Heading1LABChar">
    <w:name w:val="Heading 1 LAB Char"/>
    <w:link w:val="Heading1LAB"/>
    <w:qFormat/>
    <w:locked/>
    <w:rPr>
      <w:rFonts w:ascii="Times New Roman" w:hAnsi="Times New Roman" w:cs="Times New Roman"/>
      <w:b/>
      <w:sz w:val="22"/>
      <w:szCs w:val="22"/>
      <w:lang w:val="fi-FI" w:eastAsia="zh-CN"/>
    </w:rPr>
  </w:style>
  <w:style w:type="character" w:styleId="Strong">
    <w:name w:val="Strong"/>
    <w:uiPriority w:val="22"/>
    <w:qFormat/>
    <w:rPr>
      <w:b/>
      <w:bCs/>
    </w:rPr>
  </w:style>
  <w:style w:type="character" w:customStyle="1" w:styleId="Underline">
    <w:name w:val="Underline"/>
    <w:uiPriority w:val="1"/>
    <w:qFormat/>
    <w:rPr>
      <w:u w:val="single"/>
    </w:rPr>
  </w:style>
  <w:style w:type="character" w:customStyle="1" w:styleId="Superscript">
    <w:name w:val="Superscript"/>
    <w:uiPriority w:val="1"/>
    <w:qFormat/>
    <w:rPr>
      <w:vertAlign w:val="superscript"/>
    </w:rPr>
  </w:style>
  <w:style w:type="character" w:customStyle="1" w:styleId="Subscript">
    <w:name w:val="Subscript"/>
    <w:uiPriority w:val="1"/>
    <w:qFormat/>
    <w:rPr>
      <w:vertAlign w:val="subscript"/>
    </w:rPr>
  </w:style>
  <w:style w:type="character" w:customStyle="1" w:styleId="NormalKeepChar">
    <w:name w:val="Normal Keep Char"/>
    <w:link w:val="NormalKeep"/>
    <w:qFormat/>
    <w:locked/>
    <w:rPr>
      <w:rFonts w:ascii="Times New Roman" w:hAnsi="Times New Roman"/>
      <w:sz w:val="22"/>
      <w:lang w:val="fi-FI" w:eastAsia="zh-CN"/>
    </w:rPr>
  </w:style>
  <w:style w:type="character" w:customStyle="1" w:styleId="HeadingStrongChar">
    <w:name w:val="Heading Strong Char"/>
    <w:link w:val="HeadingStrong"/>
    <w:qFormat/>
    <w:locked/>
    <w:rPr>
      <w:rFonts w:ascii="Times New Roman" w:hAnsi="Times New Roman"/>
      <w:b/>
      <w:bCs/>
      <w:sz w:val="22"/>
      <w:szCs w:val="22"/>
      <w:lang w:val="fi-FI"/>
    </w:rPr>
  </w:style>
  <w:style w:type="character" w:customStyle="1" w:styleId="TitleChar">
    <w:name w:val="Title Char"/>
    <w:link w:val="Title"/>
    <w:uiPriority w:val="10"/>
    <w:qFormat/>
    <w:locked/>
    <w:rPr>
      <w:rFonts w:ascii="Times New Roman" w:hAnsi="Times New Roman"/>
      <w:b/>
      <w:bCs/>
      <w:sz w:val="22"/>
      <w:szCs w:val="22"/>
      <w:lang w:val="fi-FI"/>
    </w:rPr>
  </w:style>
  <w:style w:type="character" w:customStyle="1" w:styleId="HeadingUnderlinedChar">
    <w:name w:val="Heading Underlined Char"/>
    <w:link w:val="HeadingUnderlined"/>
    <w:qFormat/>
    <w:locked/>
    <w:rPr>
      <w:rFonts w:ascii="Times New Roman" w:hAnsi="Times New Roman"/>
      <w:sz w:val="22"/>
      <w:u w:val="single"/>
      <w:lang w:val="fi-FI" w:eastAsia="zh-CN"/>
    </w:rPr>
  </w:style>
  <w:style w:type="character" w:customStyle="1" w:styleId="Internet-linkki">
    <w:name w:val="Internet-linkki"/>
    <w:uiPriority w:val="99"/>
    <w:unhideWhenUsed/>
    <w:rPr>
      <w:color w:val="0000FF"/>
      <w:u w:val="single"/>
    </w:rPr>
  </w:style>
  <w:style w:type="character" w:customStyle="1" w:styleId="EmphasisUnderline">
    <w:name w:val="Emphasis Underline"/>
    <w:uiPriority w:val="1"/>
    <w:qFormat/>
    <w:rPr>
      <w:i/>
      <w:iCs/>
      <w:u w:val="single"/>
    </w:rPr>
  </w:style>
  <w:style w:type="character" w:customStyle="1" w:styleId="Heading2Char">
    <w:name w:val="Heading 2 Char"/>
    <w:link w:val="Heading2"/>
    <w:uiPriority w:val="9"/>
    <w:qFormat/>
    <w:rPr>
      <w:rFonts w:ascii="Times New Roman" w:hAnsi="Times New Roman"/>
      <w:b/>
      <w:bCs/>
      <w:sz w:val="22"/>
      <w:szCs w:val="22"/>
      <w:lang w:val="fi-FI"/>
    </w:rPr>
  </w:style>
  <w:style w:type="character" w:customStyle="1" w:styleId="BalloonTextChar">
    <w:name w:val="Balloon Text Char"/>
    <w:link w:val="BalloonText"/>
    <w:uiPriority w:val="99"/>
    <w:semiHidden/>
    <w:qFormat/>
    <w:rPr>
      <w:rFonts w:ascii="Segoe UI" w:hAnsi="Segoe UI" w:cs="Segoe UI"/>
      <w:sz w:val="18"/>
      <w:szCs w:val="18"/>
      <w:lang w:val="fi-FI"/>
    </w:rPr>
  </w:style>
  <w:style w:type="character" w:customStyle="1" w:styleId="BodyTextChar">
    <w:name w:val="Body Text Char"/>
    <w:link w:val="BodyText"/>
    <w:uiPriority w:val="99"/>
    <w:semiHidden/>
    <w:qFormat/>
    <w:rPr>
      <w:rFonts w:ascii="Times New Roman" w:hAnsi="Times New Roman"/>
      <w:sz w:val="22"/>
      <w:szCs w:val="22"/>
      <w:lang w:val="fi-FI"/>
    </w:rPr>
  </w:style>
  <w:style w:type="character" w:customStyle="1" w:styleId="BodyText2Char">
    <w:name w:val="Body Text 2 Char"/>
    <w:link w:val="BodyText2"/>
    <w:uiPriority w:val="99"/>
    <w:semiHidden/>
    <w:qFormat/>
    <w:rPr>
      <w:rFonts w:ascii="Times New Roman" w:hAnsi="Times New Roman"/>
      <w:sz w:val="22"/>
      <w:szCs w:val="22"/>
      <w:lang w:val="fi-FI"/>
    </w:rPr>
  </w:style>
  <w:style w:type="character" w:customStyle="1" w:styleId="BodyText3Char">
    <w:name w:val="Body Text 3 Char"/>
    <w:link w:val="BodyText3"/>
    <w:uiPriority w:val="99"/>
    <w:semiHidden/>
    <w:qFormat/>
    <w:rPr>
      <w:rFonts w:ascii="Times New Roman" w:hAnsi="Times New Roman"/>
      <w:sz w:val="16"/>
      <w:szCs w:val="16"/>
      <w:lang w:val="fi-FI"/>
    </w:rPr>
  </w:style>
  <w:style w:type="character" w:customStyle="1" w:styleId="BodyTextFirstIndentChar">
    <w:name w:val="Body Text First Indent Char"/>
    <w:uiPriority w:val="99"/>
    <w:semiHidden/>
    <w:qFormat/>
    <w:rPr>
      <w:rFonts w:ascii="Times New Roman" w:hAnsi="Times New Roman"/>
      <w:sz w:val="22"/>
      <w:szCs w:val="22"/>
      <w:lang w:val="fi-FI"/>
    </w:rPr>
  </w:style>
  <w:style w:type="character" w:customStyle="1" w:styleId="BodyTextIndentChar">
    <w:name w:val="Body Text Indent Char"/>
    <w:link w:val="BodyTextIndent"/>
    <w:uiPriority w:val="99"/>
    <w:semiHidden/>
    <w:qFormat/>
    <w:rPr>
      <w:rFonts w:ascii="Times New Roman" w:hAnsi="Times New Roman"/>
      <w:sz w:val="22"/>
      <w:szCs w:val="22"/>
      <w:lang w:val="fi-FI"/>
    </w:rPr>
  </w:style>
  <w:style w:type="character" w:customStyle="1" w:styleId="BodyTextFirstIndent2Char">
    <w:name w:val="Body Text First Indent 2 Char"/>
    <w:link w:val="BodyTextFirstIndent2"/>
    <w:uiPriority w:val="99"/>
    <w:semiHidden/>
    <w:qFormat/>
    <w:rPr>
      <w:rFonts w:ascii="Times New Roman" w:hAnsi="Times New Roman"/>
      <w:sz w:val="22"/>
      <w:szCs w:val="22"/>
      <w:lang w:val="fi-FI"/>
    </w:rPr>
  </w:style>
  <w:style w:type="character" w:customStyle="1" w:styleId="BodyTextIndent2Char">
    <w:name w:val="Body Text Indent 2 Char"/>
    <w:link w:val="BodyTextIndent2"/>
    <w:uiPriority w:val="99"/>
    <w:semiHidden/>
    <w:qFormat/>
    <w:rPr>
      <w:rFonts w:ascii="Times New Roman" w:hAnsi="Times New Roman"/>
      <w:sz w:val="22"/>
      <w:szCs w:val="22"/>
      <w:lang w:val="fi-FI"/>
    </w:rPr>
  </w:style>
  <w:style w:type="character" w:customStyle="1" w:styleId="BodyTextIndent3Char">
    <w:name w:val="Body Text Indent 3 Char"/>
    <w:link w:val="BodyTextIndent3"/>
    <w:uiPriority w:val="99"/>
    <w:semiHidden/>
    <w:qFormat/>
    <w:rPr>
      <w:rFonts w:ascii="Times New Roman" w:hAnsi="Times New Roman"/>
      <w:sz w:val="16"/>
      <w:szCs w:val="16"/>
      <w:lang w:val="fi-FI"/>
    </w:rPr>
  </w:style>
  <w:style w:type="character" w:customStyle="1" w:styleId="ClosingChar">
    <w:name w:val="Closing Char"/>
    <w:link w:val="Closing"/>
    <w:uiPriority w:val="99"/>
    <w:semiHidden/>
    <w:qFormat/>
    <w:rPr>
      <w:rFonts w:ascii="Times New Roman" w:hAnsi="Times New Roman"/>
      <w:sz w:val="22"/>
      <w:szCs w:val="22"/>
      <w:lang w:val="fi-FI"/>
    </w:rPr>
  </w:style>
  <w:style w:type="character" w:customStyle="1" w:styleId="CommentTextChar">
    <w:name w:val="Comment Text Char"/>
    <w:link w:val="CommentText"/>
    <w:qFormat/>
    <w:rPr>
      <w:rFonts w:ascii="Times New Roman" w:hAnsi="Times New Roman"/>
      <w:lang w:val="fi-FI"/>
    </w:rPr>
  </w:style>
  <w:style w:type="character" w:customStyle="1" w:styleId="CommentSubjectChar">
    <w:name w:val="Comment Subject Char"/>
    <w:link w:val="CommentSubject"/>
    <w:uiPriority w:val="99"/>
    <w:semiHidden/>
    <w:qFormat/>
    <w:rPr>
      <w:rFonts w:ascii="Times New Roman" w:hAnsi="Times New Roman"/>
      <w:b/>
      <w:bCs/>
      <w:lang w:val="fi-FI"/>
    </w:rPr>
  </w:style>
  <w:style w:type="character" w:customStyle="1" w:styleId="DateChar">
    <w:name w:val="Date Char"/>
    <w:link w:val="Date"/>
    <w:uiPriority w:val="99"/>
    <w:semiHidden/>
    <w:qFormat/>
    <w:rPr>
      <w:rFonts w:ascii="Times New Roman" w:hAnsi="Times New Roman"/>
      <w:sz w:val="22"/>
      <w:szCs w:val="22"/>
      <w:lang w:val="fi-FI"/>
    </w:rPr>
  </w:style>
  <w:style w:type="character" w:customStyle="1" w:styleId="DocumentMapChar">
    <w:name w:val="Document Map Char"/>
    <w:link w:val="DocumentMap"/>
    <w:uiPriority w:val="99"/>
    <w:semiHidden/>
    <w:qFormat/>
    <w:rPr>
      <w:rFonts w:ascii="Segoe UI" w:hAnsi="Segoe UI" w:cs="Segoe UI"/>
      <w:sz w:val="16"/>
      <w:szCs w:val="16"/>
      <w:lang w:val="fi-FI"/>
    </w:rPr>
  </w:style>
  <w:style w:type="character" w:customStyle="1" w:styleId="E-mailSignatureChar">
    <w:name w:val="E-mail Signature Char"/>
    <w:uiPriority w:val="99"/>
    <w:semiHidden/>
    <w:qFormat/>
    <w:rPr>
      <w:rFonts w:ascii="Times New Roman" w:hAnsi="Times New Roman"/>
      <w:sz w:val="22"/>
      <w:szCs w:val="22"/>
      <w:lang w:val="fi-FI"/>
    </w:rPr>
  </w:style>
  <w:style w:type="character" w:customStyle="1" w:styleId="EndnoteTextChar">
    <w:name w:val="Endnote Text Char"/>
    <w:link w:val="EndnoteText"/>
    <w:uiPriority w:val="99"/>
    <w:semiHidden/>
    <w:qFormat/>
    <w:rPr>
      <w:rFonts w:ascii="Times New Roman" w:hAnsi="Times New Roman"/>
      <w:lang w:val="fi-FI"/>
    </w:rPr>
  </w:style>
  <w:style w:type="character" w:customStyle="1" w:styleId="FootnoteTextChar">
    <w:name w:val="Footnote Text Char"/>
    <w:link w:val="FootnoteText"/>
    <w:uiPriority w:val="99"/>
    <w:semiHidden/>
    <w:qFormat/>
    <w:rPr>
      <w:rFonts w:ascii="Times New Roman" w:hAnsi="Times New Roman"/>
      <w:lang w:val="fi-FI"/>
    </w:rPr>
  </w:style>
  <w:style w:type="character" w:customStyle="1" w:styleId="Heading3Char">
    <w:name w:val="Heading 3 Char"/>
    <w:link w:val="Heading3"/>
    <w:uiPriority w:val="9"/>
    <w:semiHidden/>
    <w:qFormat/>
    <w:rPr>
      <w:rFonts w:ascii="Calibri Light" w:eastAsia="DengXian Light" w:hAnsi="Calibri Light" w:cs="Times New Roman"/>
      <w:b/>
      <w:bCs/>
      <w:sz w:val="26"/>
      <w:szCs w:val="26"/>
      <w:lang w:val="fi-FI"/>
    </w:rPr>
  </w:style>
  <w:style w:type="character" w:customStyle="1" w:styleId="Heading4Char">
    <w:name w:val="Heading 4 Char"/>
    <w:link w:val="Heading4"/>
    <w:uiPriority w:val="9"/>
    <w:semiHidden/>
    <w:qFormat/>
    <w:rPr>
      <w:rFonts w:ascii="Calibri" w:eastAsia="DengXian" w:hAnsi="Calibri" w:cs="Arial"/>
      <w:b/>
      <w:bCs/>
      <w:sz w:val="28"/>
      <w:szCs w:val="28"/>
      <w:lang w:val="fi-FI"/>
    </w:rPr>
  </w:style>
  <w:style w:type="character" w:customStyle="1" w:styleId="Heading5Char">
    <w:name w:val="Heading 5 Char"/>
    <w:link w:val="Heading5"/>
    <w:uiPriority w:val="9"/>
    <w:semiHidden/>
    <w:qFormat/>
    <w:rPr>
      <w:rFonts w:ascii="Calibri" w:eastAsia="DengXian" w:hAnsi="Calibri" w:cs="Arial"/>
      <w:b/>
      <w:bCs/>
      <w:i/>
      <w:iCs/>
      <w:sz w:val="26"/>
      <w:szCs w:val="26"/>
      <w:lang w:val="fi-FI"/>
    </w:rPr>
  </w:style>
  <w:style w:type="character" w:customStyle="1" w:styleId="Heading6Char">
    <w:name w:val="Heading 6 Char"/>
    <w:link w:val="Heading6"/>
    <w:uiPriority w:val="9"/>
    <w:semiHidden/>
    <w:qFormat/>
    <w:rPr>
      <w:rFonts w:ascii="Calibri" w:eastAsia="DengXian" w:hAnsi="Calibri" w:cs="Arial"/>
      <w:b/>
      <w:bCs/>
      <w:sz w:val="22"/>
      <w:szCs w:val="22"/>
      <w:lang w:val="fi-FI"/>
    </w:rPr>
  </w:style>
  <w:style w:type="character" w:customStyle="1" w:styleId="Heading7Char">
    <w:name w:val="Heading 7 Char"/>
    <w:link w:val="Heading7"/>
    <w:uiPriority w:val="9"/>
    <w:semiHidden/>
    <w:qFormat/>
    <w:rPr>
      <w:rFonts w:ascii="Calibri" w:eastAsia="DengXian" w:hAnsi="Calibri" w:cs="Arial"/>
      <w:sz w:val="24"/>
      <w:szCs w:val="24"/>
      <w:lang w:val="fi-FI"/>
    </w:rPr>
  </w:style>
  <w:style w:type="character" w:customStyle="1" w:styleId="Heading8Char">
    <w:name w:val="Heading 8 Char"/>
    <w:link w:val="Heading8"/>
    <w:uiPriority w:val="9"/>
    <w:semiHidden/>
    <w:qFormat/>
    <w:rPr>
      <w:rFonts w:ascii="Calibri" w:eastAsia="DengXian" w:hAnsi="Calibri" w:cs="Arial"/>
      <w:i/>
      <w:iCs/>
      <w:sz w:val="24"/>
      <w:szCs w:val="24"/>
      <w:lang w:val="fi-FI"/>
    </w:rPr>
  </w:style>
  <w:style w:type="character" w:customStyle="1" w:styleId="Heading9Char">
    <w:name w:val="Heading 9 Char"/>
    <w:link w:val="Heading9"/>
    <w:uiPriority w:val="9"/>
    <w:semiHidden/>
    <w:qFormat/>
    <w:rPr>
      <w:rFonts w:ascii="Calibri Light" w:eastAsia="DengXian Light" w:hAnsi="Calibri Light" w:cs="Times New Roman"/>
      <w:sz w:val="22"/>
      <w:szCs w:val="22"/>
      <w:lang w:val="fi-FI"/>
    </w:rPr>
  </w:style>
  <w:style w:type="character" w:customStyle="1" w:styleId="HTMLAddressChar">
    <w:name w:val="HTML Address Char"/>
    <w:link w:val="HTMLAddress"/>
    <w:uiPriority w:val="99"/>
    <w:semiHidden/>
    <w:qFormat/>
    <w:rPr>
      <w:rFonts w:ascii="Times New Roman" w:hAnsi="Times New Roman"/>
      <w:i/>
      <w:iCs/>
      <w:sz w:val="22"/>
      <w:szCs w:val="22"/>
      <w:lang w:val="fi-FI"/>
    </w:rPr>
  </w:style>
  <w:style w:type="character" w:customStyle="1" w:styleId="HTMLPreformattedChar">
    <w:name w:val="HTML Preformatted Char"/>
    <w:link w:val="HTMLPreformatted"/>
    <w:uiPriority w:val="99"/>
    <w:semiHidden/>
    <w:qFormat/>
    <w:rPr>
      <w:rFonts w:ascii="Courier New" w:hAnsi="Courier New" w:cs="Courier New"/>
      <w:lang w:val="fi-FI"/>
    </w:rPr>
  </w:style>
  <w:style w:type="character" w:customStyle="1" w:styleId="IntenseQuoteChar">
    <w:name w:val="Intense Quote Char"/>
    <w:link w:val="IntenseQuote"/>
    <w:uiPriority w:val="30"/>
    <w:qFormat/>
    <w:rPr>
      <w:rFonts w:ascii="Times New Roman" w:hAnsi="Times New Roman"/>
      <w:i/>
      <w:iCs/>
      <w:color w:val="4472C4"/>
      <w:sz w:val="22"/>
      <w:szCs w:val="22"/>
      <w:lang w:val="fi-FI"/>
    </w:rPr>
  </w:style>
  <w:style w:type="character" w:customStyle="1" w:styleId="MacroTextChar">
    <w:name w:val="Macro Text Char"/>
    <w:link w:val="MacroText"/>
    <w:uiPriority w:val="99"/>
    <w:semiHidden/>
    <w:qFormat/>
    <w:rPr>
      <w:rFonts w:ascii="Courier New" w:hAnsi="Courier New" w:cs="Courier New"/>
      <w:lang w:val="fi-FI"/>
    </w:rPr>
  </w:style>
  <w:style w:type="character" w:customStyle="1" w:styleId="MessageHeaderChar">
    <w:name w:val="Message Header Char"/>
    <w:link w:val="MessageHeader"/>
    <w:uiPriority w:val="99"/>
    <w:semiHidden/>
    <w:qFormat/>
    <w:rPr>
      <w:rFonts w:ascii="Calibri Light" w:eastAsia="DengXian Light" w:hAnsi="Calibri Light" w:cs="Times New Roman"/>
      <w:sz w:val="24"/>
      <w:szCs w:val="24"/>
      <w:shd w:val="clear" w:color="auto" w:fill="CCCCCC"/>
      <w:lang w:val="fi-FI"/>
    </w:rPr>
  </w:style>
  <w:style w:type="character" w:customStyle="1" w:styleId="NoteHeadingChar">
    <w:name w:val="Note Heading Char"/>
    <w:link w:val="NoteHeading"/>
    <w:uiPriority w:val="99"/>
    <w:semiHidden/>
    <w:qFormat/>
    <w:rPr>
      <w:rFonts w:ascii="Times New Roman" w:hAnsi="Times New Roman"/>
      <w:sz w:val="22"/>
      <w:szCs w:val="22"/>
      <w:lang w:val="fi-FI"/>
    </w:rPr>
  </w:style>
  <w:style w:type="character" w:customStyle="1" w:styleId="PlainTextChar">
    <w:name w:val="Plain Text Char"/>
    <w:link w:val="PlainText"/>
    <w:uiPriority w:val="99"/>
    <w:semiHidden/>
    <w:qFormat/>
    <w:rPr>
      <w:rFonts w:ascii="Courier New" w:hAnsi="Courier New" w:cs="Courier New"/>
      <w:lang w:val="fi-FI"/>
    </w:rPr>
  </w:style>
  <w:style w:type="character" w:customStyle="1" w:styleId="QuoteChar">
    <w:name w:val="Quote Char"/>
    <w:link w:val="Quote"/>
    <w:uiPriority w:val="29"/>
    <w:qFormat/>
    <w:rPr>
      <w:rFonts w:ascii="Times New Roman" w:hAnsi="Times New Roman"/>
      <w:i/>
      <w:iCs/>
      <w:color w:val="404040"/>
      <w:sz w:val="22"/>
      <w:szCs w:val="22"/>
      <w:lang w:val="fi-FI"/>
    </w:rPr>
  </w:style>
  <w:style w:type="character" w:customStyle="1" w:styleId="SalutationChar">
    <w:name w:val="Salutation Char"/>
    <w:link w:val="Salutation"/>
    <w:uiPriority w:val="99"/>
    <w:semiHidden/>
    <w:qFormat/>
    <w:rPr>
      <w:rFonts w:ascii="Times New Roman" w:hAnsi="Times New Roman"/>
      <w:sz w:val="22"/>
      <w:szCs w:val="22"/>
      <w:lang w:val="fi-FI"/>
    </w:rPr>
  </w:style>
  <w:style w:type="character" w:customStyle="1" w:styleId="SignatureChar">
    <w:name w:val="Signature Char"/>
    <w:link w:val="Signature"/>
    <w:uiPriority w:val="99"/>
    <w:semiHidden/>
    <w:qFormat/>
    <w:rPr>
      <w:rFonts w:ascii="Times New Roman" w:hAnsi="Times New Roman"/>
      <w:sz w:val="22"/>
      <w:szCs w:val="22"/>
      <w:lang w:val="fi-FI"/>
    </w:rPr>
  </w:style>
  <w:style w:type="character" w:customStyle="1" w:styleId="SubtitleChar">
    <w:name w:val="Subtitle Char"/>
    <w:link w:val="Subtitle"/>
    <w:uiPriority w:val="11"/>
    <w:qFormat/>
    <w:rPr>
      <w:rFonts w:ascii="Calibri Light" w:eastAsia="DengXian Light" w:hAnsi="Calibri Light" w:cs="Times New Roman"/>
      <w:sz w:val="24"/>
      <w:szCs w:val="24"/>
      <w:lang w:val="fi-FI"/>
    </w:rPr>
  </w:style>
  <w:style w:type="character" w:customStyle="1" w:styleId="UnresolvedMention1">
    <w:name w:val="Unresolved Mention1"/>
    <w:uiPriority w:val="99"/>
    <w:semiHidden/>
    <w:unhideWhenUsed/>
    <w:qFormat/>
    <w:rPr>
      <w:color w:val="605E5C"/>
      <w:shd w:val="clear" w:color="auto" w:fill="E1DFDD"/>
    </w:rPr>
  </w:style>
  <w:style w:type="character" w:customStyle="1" w:styleId="StrongUnderline">
    <w:name w:val="Strong Underline"/>
    <w:uiPriority w:val="1"/>
    <w:qFormat/>
    <w:rPr>
      <w:b/>
      <w:bCs/>
      <w:u w:val="single"/>
    </w:rPr>
  </w:style>
  <w:style w:type="character" w:customStyle="1" w:styleId="EmphasisStrongUnd">
    <w:name w:val="Emphasis Strong Und"/>
    <w:uiPriority w:val="1"/>
    <w:qFormat/>
    <w:rPr>
      <w:b/>
      <w:bCs/>
      <w:i/>
      <w:iCs/>
      <w:u w:val="single"/>
    </w:rPr>
  </w:style>
  <w:style w:type="character" w:styleId="CommentReference">
    <w:name w:val="annotation reference"/>
    <w:unhideWhenUsed/>
    <w:qFormat/>
    <w:rPr>
      <w:sz w:val="16"/>
      <w:szCs w:val="16"/>
    </w:rPr>
  </w:style>
  <w:style w:type="character" w:customStyle="1" w:styleId="TableFigureNoteChar">
    <w:name w:val="Table/Figure Note Char"/>
    <w:link w:val="TableFigureNote"/>
    <w:qFormat/>
    <w:locked/>
    <w:rsid w:val="005824F2"/>
    <w:rPr>
      <w:rFonts w:ascii="Times New Roman" w:eastAsia="Times New Roman" w:hAnsi="Times New Roman"/>
      <w:szCs w:val="24"/>
      <w:lang w:val="en-US" w:eastAsia="en-US"/>
    </w:rPr>
  </w:style>
  <w:style w:type="paragraph" w:customStyle="1" w:styleId="Otsikko1">
    <w:name w:val="Otsikk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pPr>
      <w:spacing w:after="120"/>
    </w:pPr>
  </w:style>
  <w:style w:type="paragraph" w:styleId="List">
    <w:name w:val="List"/>
    <w:basedOn w:val="Normal"/>
    <w:uiPriority w:val="99"/>
    <w:semiHidden/>
    <w:unhideWhenUsed/>
    <w:pPr>
      <w:ind w:left="360" w:hanging="360"/>
      <w:contextualSpacing/>
    </w:pPr>
  </w:style>
  <w:style w:type="paragraph" w:styleId="Caption">
    <w:name w:val="caption"/>
    <w:basedOn w:val="Normal"/>
    <w:next w:val="Normal"/>
    <w:uiPriority w:val="99"/>
    <w:unhideWhenUsed/>
    <w:qFormat/>
    <w:rPr>
      <w:b/>
      <w:bCs/>
      <w:sz w:val="20"/>
      <w:szCs w:val="20"/>
    </w:rPr>
  </w:style>
  <w:style w:type="paragraph" w:customStyle="1" w:styleId="Hakemisto">
    <w:name w:val="Hakemisto"/>
    <w:basedOn w:val="Normal"/>
    <w:qFormat/>
    <w:pPr>
      <w:suppressLineNumbers/>
    </w:pPr>
    <w:rPr>
      <w:rFonts w:cs="Lucida Sans"/>
    </w:rPr>
  </w:style>
  <w:style w:type="paragraph" w:customStyle="1" w:styleId="NormalKeep">
    <w:name w:val="Normal Keep"/>
    <w:basedOn w:val="Normal"/>
    <w:link w:val="NormalKeepChar"/>
    <w:qFormat/>
    <w:pPr>
      <w:keepNext/>
    </w:pPr>
  </w:style>
  <w:style w:type="paragraph" w:customStyle="1" w:styleId="Bullet">
    <w:name w:val="Bullet •"/>
    <w:basedOn w:val="Normal"/>
    <w:qFormat/>
  </w:style>
  <w:style w:type="paragraph" w:customStyle="1" w:styleId="Bullet2">
    <w:name w:val="Bullet • 2"/>
    <w:basedOn w:val="Normal"/>
    <w:qFormat/>
  </w:style>
  <w:style w:type="paragraph" w:customStyle="1" w:styleId="Bullet-">
    <w:name w:val="Bullet -"/>
    <w:basedOn w:val="Normal"/>
    <w:qFormat/>
  </w:style>
  <w:style w:type="paragraph" w:customStyle="1" w:styleId="Bullet-2">
    <w:name w:val="Bullet - 2"/>
    <w:basedOn w:val="Normal"/>
    <w:qFormat/>
  </w:style>
  <w:style w:type="paragraph" w:styleId="NormalIndent">
    <w:name w:val="Normal Indent"/>
    <w:basedOn w:val="Normal"/>
    <w:uiPriority w:val="99"/>
    <w:unhideWhenUsed/>
    <w:qFormat/>
    <w:pPr>
      <w:ind w:left="562"/>
    </w:pPr>
  </w:style>
  <w:style w:type="paragraph" w:customStyle="1" w:styleId="Yltunnistejaalatunniste">
    <w:name w:val="Ylätunniste ja alatunniste"/>
    <w:basedOn w:val="Normal"/>
    <w:qFormat/>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jc w:val="center"/>
    </w:pPr>
    <w:rPr>
      <w:rFonts w:ascii="Arial" w:hAnsi="Arial" w:cs="Arial"/>
      <w:sz w:val="16"/>
      <w:szCs w:val="16"/>
    </w:rPr>
  </w:style>
  <w:style w:type="paragraph" w:customStyle="1" w:styleId="Heading1LAB">
    <w:name w:val="Heading 1 LAB"/>
    <w:basedOn w:val="Heading1"/>
    <w:next w:val="NormalKeep"/>
    <w:link w:val="Heading1LABChar"/>
    <w:qFormat/>
    <w:pPr>
      <w:pBdr>
        <w:top w:val="single" w:sz="8" w:space="1" w:color="000000"/>
        <w:left w:val="single" w:sz="8" w:space="4" w:color="000000"/>
        <w:bottom w:val="single" w:sz="8" w:space="1" w:color="000000"/>
        <w:right w:val="single" w:sz="8" w:space="4" w:color="000000"/>
      </w:pBdr>
    </w:pPr>
  </w:style>
  <w:style w:type="paragraph" w:customStyle="1" w:styleId="HeadingStrong">
    <w:name w:val="Heading Strong"/>
    <w:basedOn w:val="NormalKeep"/>
    <w:next w:val="NormalKeep"/>
    <w:link w:val="HeadingStrongChar"/>
    <w:qFormat/>
    <w:pPr>
      <w:keepLines/>
    </w:pPr>
    <w:rPr>
      <w:b/>
      <w:bCs/>
    </w:rPr>
  </w:style>
  <w:style w:type="paragraph" w:customStyle="1" w:styleId="HeadingEmphasis">
    <w:name w:val="Heading Emphasis"/>
    <w:basedOn w:val="NormalKeep"/>
    <w:next w:val="NormalKeep"/>
    <w:qFormat/>
    <w:pPr>
      <w:keepLines/>
    </w:pPr>
    <w:rPr>
      <w:i/>
      <w:iCs/>
    </w:rPr>
  </w:style>
  <w:style w:type="paragraph" w:customStyle="1" w:styleId="HeadingUnderlined">
    <w:name w:val="Heading Underlined"/>
    <w:basedOn w:val="NormalKeep"/>
    <w:next w:val="NormalKeep"/>
    <w:link w:val="HeadingUnderlinedChar"/>
    <w:qFormat/>
    <w:pPr>
      <w:keepLines/>
    </w:pPr>
    <w:rPr>
      <w:u w:val="single"/>
    </w:rPr>
  </w:style>
  <w:style w:type="paragraph" w:styleId="Title">
    <w:name w:val="Title"/>
    <w:basedOn w:val="Heading1"/>
    <w:next w:val="NormalKeep"/>
    <w:link w:val="TitleChar"/>
    <w:uiPriority w:val="10"/>
    <w:qFormat/>
    <w:pPr>
      <w:ind w:left="0" w:firstLine="0"/>
      <w:jc w:val="center"/>
    </w:pPr>
  </w:style>
  <w:style w:type="paragraph" w:customStyle="1" w:styleId="NormalCentred">
    <w:name w:val="Normal Centred"/>
    <w:basedOn w:val="Normal"/>
    <w:qFormat/>
    <w:pPr>
      <w:jc w:val="center"/>
    </w:pPr>
  </w:style>
  <w:style w:type="paragraph" w:customStyle="1" w:styleId="HeadingUnderlinedEmphasis">
    <w:name w:val="Heading Underlined Emphasis"/>
    <w:basedOn w:val="HeadingUnderlined"/>
    <w:next w:val="NormalKeep"/>
    <w:qFormat/>
    <w:rPr>
      <w:i/>
      <w:iCs/>
    </w:rPr>
  </w:style>
  <w:style w:type="paragraph" w:customStyle="1" w:styleId="NormalHanging">
    <w:name w:val="Normal Hanging"/>
    <w:basedOn w:val="Normal"/>
    <w:qFormat/>
    <w:pPr>
      <w:ind w:left="562" w:hanging="562"/>
    </w:pPr>
  </w:style>
  <w:style w:type="paragraph" w:customStyle="1" w:styleId="Heading1Indent">
    <w:name w:val="Heading 1 Indent"/>
    <w:basedOn w:val="Heading1"/>
    <w:next w:val="NormalKeep"/>
    <w:qFormat/>
    <w:pPr>
      <w:ind w:left="1685" w:hanging="562"/>
    </w:pPr>
  </w:style>
  <w:style w:type="paragraph" w:customStyle="1" w:styleId="HeadingStrongEmphasis">
    <w:name w:val="Heading Strong Emphasis"/>
    <w:basedOn w:val="HeadingStrong"/>
    <w:next w:val="NormalKeep"/>
    <w:qFormat/>
    <w:rPr>
      <w:i/>
      <w:iCs/>
    </w:rPr>
  </w:style>
  <w:style w:type="paragraph" w:customStyle="1" w:styleId="HeadingStrLAB">
    <w:name w:val="Heading Str LAB"/>
    <w:basedOn w:val="HeadingStrong"/>
    <w:next w:val="Normal"/>
    <w:qFormat/>
    <w:pPr>
      <w:pBdr>
        <w:top w:val="single" w:sz="8" w:space="1" w:color="000000"/>
        <w:left w:val="single" w:sz="8" w:space="4" w:color="000000"/>
        <w:bottom w:val="single" w:sz="8" w:space="1" w:color="000000"/>
        <w:right w:val="single" w:sz="8" w:space="4" w:color="000000"/>
      </w:pBdr>
    </w:pPr>
  </w:style>
  <w:style w:type="paragraph" w:customStyle="1" w:styleId="TableFootnote">
    <w:name w:val="Table Footnote"/>
    <w:basedOn w:val="NormalHanging"/>
    <w:qFormat/>
    <w:pPr>
      <w:ind w:left="288" w:hanging="288"/>
    </w:pPr>
  </w:style>
  <w:style w:type="paragraph" w:customStyle="1" w:styleId="TableTitle">
    <w:name w:val="Table Title"/>
    <w:basedOn w:val="Heading1"/>
    <w:next w:val="NormalKeep"/>
    <w:qFormat/>
    <w:pPr>
      <w:ind w:left="1138" w:hanging="1138"/>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ibliography">
    <w:name w:val="Bibliography"/>
    <w:basedOn w:val="Normal"/>
    <w:next w:val="Normal"/>
    <w:uiPriority w:val="37"/>
    <w:semiHidden/>
    <w:unhideWhenUsed/>
    <w:qFormat/>
  </w:style>
  <w:style w:type="paragraph" w:styleId="BlockText">
    <w:name w:val="Block Text"/>
    <w:basedOn w:val="Normal"/>
    <w:uiPriority w:val="99"/>
    <w:semiHidden/>
    <w:unhideWhenUsed/>
    <w:qFormat/>
    <w:pPr>
      <w:spacing w:after="120"/>
      <w:ind w:left="1440" w:right="1440"/>
    </w:p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
    <w:name w:val="Body Text Indent"/>
    <w:basedOn w:val="Normal"/>
    <w:link w:val="BodyTextIndentChar"/>
    <w:uiPriority w:val="99"/>
    <w:semiHidden/>
    <w:unhideWhenUsed/>
    <w:pPr>
      <w:spacing w:after="120"/>
      <w:ind w:left="360"/>
    </w:pPr>
  </w:style>
  <w:style w:type="paragraph" w:styleId="BodyTextFirstIndent2">
    <w:name w:val="Body Text First Indent 2"/>
    <w:basedOn w:val="BodyTextIndent"/>
    <w:link w:val="BodyTextFirstIndent2Char"/>
    <w:uiPriority w:val="99"/>
    <w:semiHidden/>
    <w:unhideWhenUsed/>
    <w:qFormat/>
    <w:pPr>
      <w:ind w:firstLine="210"/>
    </w:pPr>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Closing">
    <w:name w:val="Closing"/>
    <w:basedOn w:val="Normal"/>
    <w:link w:val="ClosingChar"/>
    <w:uiPriority w:val="99"/>
    <w:semiHidden/>
    <w:unhideWhenUsed/>
    <w:qFormat/>
    <w:pPr>
      <w:ind w:left="4320"/>
    </w:p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style>
  <w:style w:type="paragraph" w:styleId="DocumentMap">
    <w:name w:val="Document Map"/>
    <w:basedOn w:val="Normal"/>
    <w:link w:val="DocumentMapChar"/>
    <w:uiPriority w:val="99"/>
    <w:semiHidden/>
    <w:unhideWhenUsed/>
    <w:qFormat/>
    <w:rPr>
      <w:rFonts w:ascii="Segoe UI" w:hAnsi="Segoe UI" w:cs="Segoe UI"/>
      <w:sz w:val="16"/>
      <w:szCs w:val="16"/>
    </w:rPr>
  </w:style>
  <w:style w:type="paragraph" w:styleId="E-mailSignature">
    <w:name w:val="E-mail Signature"/>
    <w:basedOn w:val="Normal"/>
    <w:uiPriority w:val="99"/>
    <w:semiHidden/>
    <w:unhideWhenUsed/>
    <w:qFormat/>
  </w:style>
  <w:style w:type="paragraph" w:styleId="EndnoteText">
    <w:name w:val="endnote text"/>
    <w:basedOn w:val="Normal"/>
    <w:link w:val="EndnoteTextChar"/>
    <w:uiPriority w:val="99"/>
    <w:semiHidden/>
    <w:unhideWhenUsed/>
    <w:rPr>
      <w:sz w:val="20"/>
      <w:szCs w:val="20"/>
    </w:rPr>
  </w:style>
  <w:style w:type="paragraph" w:styleId="EnvelopeAddress">
    <w:name w:val="envelope address"/>
    <w:basedOn w:val="Normal"/>
    <w:uiPriority w:val="99"/>
    <w:semiHidden/>
    <w:unhideWhenUsed/>
    <w:qFormat/>
    <w:pPr>
      <w:ind w:left="2880"/>
    </w:pPr>
    <w:rPr>
      <w:rFonts w:ascii="Calibri Light" w:eastAsia="DengXian Light" w:hAnsi="Calibri Light"/>
      <w:sz w:val="24"/>
      <w:szCs w:val="24"/>
    </w:rPr>
  </w:style>
  <w:style w:type="paragraph" w:styleId="EnvelopeReturn">
    <w:name w:val="envelope return"/>
    <w:basedOn w:val="Normal"/>
    <w:uiPriority w:val="99"/>
    <w:semiHidden/>
    <w:unhideWhenUsed/>
    <w:qFormat/>
    <w:rPr>
      <w:rFonts w:ascii="Calibri Light" w:eastAsia="DengXian Light" w:hAnsi="Calibri Light"/>
      <w:sz w:val="20"/>
      <w:szCs w:val="20"/>
    </w:rPr>
  </w:style>
  <w:style w:type="paragraph" w:styleId="FootnoteText">
    <w:name w:val="footnote text"/>
    <w:basedOn w:val="Normal"/>
    <w:link w:val="FootnoteTextChar"/>
    <w:uiPriority w:val="99"/>
    <w:semiHidden/>
    <w:unhideWhenUsed/>
    <w:rPr>
      <w:sz w:val="20"/>
      <w:szCs w:val="20"/>
    </w:rPr>
  </w:style>
  <w:style w:type="paragraph" w:styleId="HTMLAddress">
    <w:name w:val="HTML Address"/>
    <w:basedOn w:val="Normal"/>
    <w:link w:val="HTMLAddressChar"/>
    <w:uiPriority w:val="99"/>
    <w:semiHidden/>
    <w:unhideWhenUsed/>
    <w:qFormat/>
    <w:rPr>
      <w:i/>
      <w:iCs/>
    </w:rPr>
  </w:style>
  <w:style w:type="paragraph" w:styleId="HTMLPreformatted">
    <w:name w:val="HTML Preformatted"/>
    <w:basedOn w:val="Normal"/>
    <w:link w:val="HTMLPreformattedChar"/>
    <w:uiPriority w:val="99"/>
    <w:semiHidden/>
    <w:unhideWhenUsed/>
    <w:qFormat/>
    <w:rPr>
      <w:rFonts w:ascii="Courier New" w:hAnsi="Courier New" w:cs="Courier New"/>
      <w:sz w:val="20"/>
      <w:szCs w:val="20"/>
    </w:rPr>
  </w:style>
  <w:style w:type="paragraph" w:styleId="Index1">
    <w:name w:val="index 1"/>
    <w:basedOn w:val="Normal"/>
    <w:next w:val="Normal"/>
    <w:autoRedefine/>
    <w:uiPriority w:val="99"/>
    <w:semiHidden/>
    <w:unhideWhenUsed/>
    <w:qFormat/>
    <w:pPr>
      <w:ind w:left="220" w:hanging="220"/>
    </w:pPr>
  </w:style>
  <w:style w:type="paragraph" w:styleId="Index2">
    <w:name w:val="index 2"/>
    <w:basedOn w:val="Normal"/>
    <w:next w:val="Normal"/>
    <w:autoRedefine/>
    <w:uiPriority w:val="99"/>
    <w:semiHidden/>
    <w:unhideWhenUsed/>
    <w:qFormat/>
    <w:pPr>
      <w:ind w:left="440" w:hanging="220"/>
    </w:pPr>
  </w:style>
  <w:style w:type="paragraph" w:styleId="Index3">
    <w:name w:val="index 3"/>
    <w:basedOn w:val="Normal"/>
    <w:next w:val="Normal"/>
    <w:autoRedefine/>
    <w:uiPriority w:val="99"/>
    <w:semiHidden/>
    <w:unhideWhenUsed/>
    <w:qFormat/>
    <w:pPr>
      <w:ind w:left="660" w:hanging="220"/>
    </w:pPr>
  </w:style>
  <w:style w:type="paragraph" w:styleId="Index4">
    <w:name w:val="index 4"/>
    <w:basedOn w:val="Normal"/>
    <w:next w:val="Normal"/>
    <w:autoRedefine/>
    <w:uiPriority w:val="99"/>
    <w:semiHidden/>
    <w:unhideWhenUsed/>
    <w:qFormat/>
    <w:pPr>
      <w:ind w:left="880" w:hanging="220"/>
    </w:pPr>
  </w:style>
  <w:style w:type="paragraph" w:styleId="Index5">
    <w:name w:val="index 5"/>
    <w:basedOn w:val="Normal"/>
    <w:next w:val="Normal"/>
    <w:autoRedefine/>
    <w:uiPriority w:val="99"/>
    <w:semiHidden/>
    <w:unhideWhenUsed/>
    <w:qFormat/>
    <w:pPr>
      <w:ind w:left="1100" w:hanging="220"/>
    </w:pPr>
  </w:style>
  <w:style w:type="paragraph" w:styleId="Index6">
    <w:name w:val="index 6"/>
    <w:basedOn w:val="Normal"/>
    <w:next w:val="Normal"/>
    <w:autoRedefine/>
    <w:uiPriority w:val="99"/>
    <w:semiHidden/>
    <w:unhideWhenUsed/>
    <w:qFormat/>
    <w:pPr>
      <w:ind w:left="1320" w:hanging="220"/>
    </w:pPr>
  </w:style>
  <w:style w:type="paragraph" w:styleId="Index7">
    <w:name w:val="index 7"/>
    <w:basedOn w:val="Normal"/>
    <w:next w:val="Normal"/>
    <w:autoRedefine/>
    <w:uiPriority w:val="99"/>
    <w:semiHidden/>
    <w:unhideWhenUsed/>
    <w:qFormat/>
    <w:pPr>
      <w:ind w:left="1540" w:hanging="220"/>
    </w:pPr>
  </w:style>
  <w:style w:type="paragraph" w:styleId="Index8">
    <w:name w:val="index 8"/>
    <w:basedOn w:val="Normal"/>
    <w:next w:val="Normal"/>
    <w:autoRedefine/>
    <w:uiPriority w:val="99"/>
    <w:semiHidden/>
    <w:unhideWhenUsed/>
    <w:qFormat/>
    <w:pPr>
      <w:ind w:left="1760" w:hanging="220"/>
    </w:pPr>
  </w:style>
  <w:style w:type="paragraph" w:styleId="Index9">
    <w:name w:val="index 9"/>
    <w:basedOn w:val="Normal"/>
    <w:next w:val="Normal"/>
    <w:autoRedefine/>
    <w:uiPriority w:val="99"/>
    <w:semiHidden/>
    <w:unhideWhenUsed/>
    <w:qFormat/>
    <w:pPr>
      <w:ind w:left="1980" w:hanging="220"/>
    </w:pPr>
  </w:style>
  <w:style w:type="paragraph" w:styleId="IndexHeading">
    <w:name w:val="index heading"/>
    <w:basedOn w:val="Normal"/>
    <w:next w:val="Index1"/>
    <w:uiPriority w:val="99"/>
    <w:semiHidden/>
    <w:unhideWhenUsed/>
    <w:qFormat/>
    <w:rPr>
      <w:rFonts w:ascii="Calibri Light" w:eastAsia="DengXian Light" w:hAnsi="Calibri Light"/>
      <w:b/>
      <w:bC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paragraph" w:styleId="ListBullet3">
    <w:name w:val="List Bullet 3"/>
    <w:basedOn w:val="Normal"/>
    <w:uiPriority w:val="99"/>
    <w:semiHidden/>
    <w:unhideWhenUsed/>
    <w:qFormat/>
    <w:pPr>
      <w:contextualSpacing/>
    </w:pPr>
  </w:style>
  <w:style w:type="paragraph" w:styleId="ListBullet4">
    <w:name w:val="List Bullet 4"/>
    <w:basedOn w:val="Normal"/>
    <w:uiPriority w:val="99"/>
    <w:semiHidden/>
    <w:unhideWhenUsed/>
    <w:qFormat/>
    <w:pPr>
      <w:contextualSpacing/>
    </w:pPr>
  </w:style>
  <w:style w:type="paragraph" w:styleId="ListBullet5">
    <w:name w:val="List Bullet 5"/>
    <w:basedOn w:val="Normal"/>
    <w:uiPriority w:val="99"/>
    <w:semiHidden/>
    <w:unhideWhenUsed/>
    <w:qFormat/>
    <w:pPr>
      <w:contextualSpacing/>
    </w:pPr>
  </w:style>
  <w:style w:type="paragraph" w:styleId="ListNumber">
    <w:name w:val="List Number"/>
    <w:basedOn w:val="Normal"/>
    <w:uiPriority w:val="99"/>
    <w:semiHidden/>
    <w:unhideWhenUsed/>
    <w:qFormat/>
    <w:pPr>
      <w:contextualSpacing/>
    </w:pPr>
  </w:style>
  <w:style w:type="paragraph" w:styleId="ListBullet">
    <w:name w:val="List Bullet"/>
    <w:basedOn w:val="Normal"/>
    <w:uiPriority w:val="99"/>
    <w:semiHidden/>
    <w:unhideWhenUsed/>
    <w:qFormat/>
    <w:pPr>
      <w:contextualSpacing/>
    </w:pPr>
  </w:style>
  <w:style w:type="paragraph" w:styleId="ListBullet2">
    <w:name w:val="List Bullet 2"/>
    <w:basedOn w:val="Normal"/>
    <w:uiPriority w:val="99"/>
    <w:semiHidden/>
    <w:unhideWhenUsed/>
    <w:qFormat/>
    <w:pPr>
      <w:contextualSpacing/>
    </w:pPr>
  </w:style>
  <w:style w:type="paragraph" w:styleId="ListContinue">
    <w:name w:val="List Continue"/>
    <w:basedOn w:val="Normal"/>
    <w:uiPriority w:val="99"/>
    <w:semiHidden/>
    <w:unhideWhenUsed/>
    <w:qFormat/>
    <w:pPr>
      <w:spacing w:after="120"/>
      <w:ind w:left="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ListContinue3">
    <w:name w:val="List Continue 3"/>
    <w:basedOn w:val="Normal"/>
    <w:uiPriority w:val="99"/>
    <w:semiHidden/>
    <w:unhideWhenUsed/>
    <w:qFormat/>
    <w:pPr>
      <w:spacing w:after="120"/>
      <w:ind w:left="1080"/>
      <w:contextualSpacing/>
    </w:pPr>
  </w:style>
  <w:style w:type="paragraph" w:styleId="ListContinue4">
    <w:name w:val="List Continue 4"/>
    <w:basedOn w:val="Normal"/>
    <w:uiPriority w:val="99"/>
    <w:semiHidden/>
    <w:unhideWhenUsed/>
    <w:qFormat/>
    <w:pPr>
      <w:spacing w:after="120"/>
      <w:ind w:left="1440"/>
      <w:contextualSpacing/>
    </w:pPr>
  </w:style>
  <w:style w:type="paragraph" w:styleId="ListContinue5">
    <w:name w:val="List Continue 5"/>
    <w:basedOn w:val="Normal"/>
    <w:uiPriority w:val="99"/>
    <w:semiHidden/>
    <w:unhideWhenUsed/>
    <w:qFormat/>
    <w:pPr>
      <w:spacing w:after="120"/>
      <w:ind w:left="1800"/>
      <w:contextualSpacing/>
    </w:pPr>
  </w:style>
  <w:style w:type="paragraph" w:styleId="ListNumber2">
    <w:name w:val="List Number 2"/>
    <w:basedOn w:val="Normal"/>
    <w:uiPriority w:val="99"/>
    <w:semiHidden/>
    <w:unhideWhenUsed/>
    <w:qFormat/>
    <w:pPr>
      <w:contextualSpacing/>
    </w:pPr>
  </w:style>
  <w:style w:type="paragraph" w:styleId="ListNumber3">
    <w:name w:val="List Number 3"/>
    <w:basedOn w:val="Normal"/>
    <w:uiPriority w:val="99"/>
    <w:semiHidden/>
    <w:unhideWhenUsed/>
    <w:qFormat/>
    <w:pPr>
      <w:contextualSpacing/>
    </w:pPr>
  </w:style>
  <w:style w:type="paragraph" w:styleId="ListNumber4">
    <w:name w:val="List Number 4"/>
    <w:basedOn w:val="Normal"/>
    <w:uiPriority w:val="99"/>
    <w:semiHidden/>
    <w:unhideWhenUsed/>
    <w:qFormat/>
    <w:pPr>
      <w:contextualSpacing/>
    </w:pPr>
  </w:style>
  <w:style w:type="paragraph" w:styleId="ListNumber5">
    <w:name w:val="List Number 5"/>
    <w:basedOn w:val="Normal"/>
    <w:uiPriority w:val="99"/>
    <w:semiHidden/>
    <w:unhideWhenUsed/>
    <w:qFormat/>
    <w:p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22"/>
      <w:lang w:val="fi-FI" w:eastAsia="zh-CN"/>
    </w:rPr>
  </w:style>
  <w:style w:type="paragraph" w:styleId="MessageHeader">
    <w:name w:val="Message Header"/>
    <w:basedOn w:val="Normal"/>
    <w:link w:val="MessageHeaderChar"/>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Calibri Light" w:eastAsia="DengXian Light" w:hAnsi="Calibri Light"/>
      <w:sz w:val="24"/>
      <w:szCs w:val="24"/>
    </w:rPr>
  </w:style>
  <w:style w:type="paragraph" w:styleId="NoSpacing">
    <w:name w:val="No Spacing"/>
    <w:uiPriority w:val="1"/>
    <w:qFormat/>
    <w:pPr>
      <w:suppressAutoHyphens/>
    </w:pPr>
    <w:rPr>
      <w:rFonts w:ascii="Times New Roman" w:hAnsi="Times New Roman"/>
      <w:sz w:val="22"/>
      <w:szCs w:val="22"/>
      <w:lang w:val="fi-FI" w:eastAsia="zh-CN"/>
    </w:rPr>
  </w:style>
  <w:style w:type="paragraph" w:styleId="NormalWeb">
    <w:name w:val="Normal (Web)"/>
    <w:basedOn w:val="Normal"/>
    <w:uiPriority w:val="99"/>
    <w:semiHidden/>
    <w:unhideWhenUsed/>
    <w:qFormat/>
    <w:rPr>
      <w:sz w:val="24"/>
      <w:szCs w:val="24"/>
    </w:rPr>
  </w:style>
  <w:style w:type="paragraph" w:styleId="NoteHeading">
    <w:name w:val="Note Heading"/>
    <w:basedOn w:val="Normal"/>
    <w:next w:val="Normal"/>
    <w:link w:val="NoteHeadingChar"/>
    <w:uiPriority w:val="99"/>
    <w:semiHidden/>
    <w:unhideWhenUsed/>
    <w:qFormat/>
  </w:style>
  <w:style w:type="paragraph" w:styleId="PlainText">
    <w:name w:val="Plain Text"/>
    <w:basedOn w:val="Normal"/>
    <w:link w:val="PlainTextChar"/>
    <w:uiPriority w:val="99"/>
    <w:semiHidden/>
    <w:unhideWhenUsed/>
    <w:qFormat/>
    <w:rPr>
      <w:rFonts w:ascii="Courier New" w:hAnsi="Courier New" w:cs="Courier New"/>
      <w:sz w:val="20"/>
      <w:szCs w:val="20"/>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paragraph" w:styleId="Salutation">
    <w:name w:val="Salutation"/>
    <w:basedOn w:val="Normal"/>
    <w:next w:val="Normal"/>
    <w:link w:val="SalutationChar"/>
    <w:uiPriority w:val="99"/>
    <w:semiHidden/>
    <w:unhideWhenUsed/>
  </w:style>
  <w:style w:type="paragraph" w:styleId="Signature">
    <w:name w:val="Signature"/>
    <w:basedOn w:val="Normal"/>
    <w:link w:val="SignatureChar"/>
    <w:uiPriority w:val="99"/>
    <w:semiHidden/>
    <w:unhideWhenUsed/>
    <w:pPr>
      <w:ind w:left="4320"/>
    </w:pPr>
  </w:style>
  <w:style w:type="paragraph" w:styleId="Subtitle">
    <w:name w:val="Subtitle"/>
    <w:basedOn w:val="Normal"/>
    <w:next w:val="Normal"/>
    <w:link w:val="SubtitleChar"/>
    <w:uiPriority w:val="11"/>
    <w:qFormat/>
    <w:pPr>
      <w:spacing w:after="60"/>
      <w:jc w:val="center"/>
      <w:outlineLvl w:val="1"/>
    </w:pPr>
    <w:rPr>
      <w:rFonts w:ascii="Calibri Light" w:eastAsia="DengXian Light" w:hAnsi="Calibri Light"/>
      <w:sz w:val="24"/>
      <w:szCs w:val="24"/>
    </w:rPr>
  </w:style>
  <w:style w:type="paragraph" w:styleId="TableofAuthorities">
    <w:name w:val="table of authorities"/>
    <w:basedOn w:val="Normal"/>
    <w:next w:val="Normal"/>
    <w:uiPriority w:val="99"/>
    <w:semiHidden/>
    <w:unhideWhenUsed/>
    <w:qFormat/>
    <w:pPr>
      <w:ind w:left="220" w:hanging="220"/>
    </w:pPr>
  </w:style>
  <w:style w:type="paragraph" w:styleId="TableofFigures">
    <w:name w:val="table of figures"/>
    <w:basedOn w:val="Normal"/>
    <w:next w:val="Normal"/>
    <w:uiPriority w:val="99"/>
    <w:semiHidden/>
    <w:unhideWhenUsed/>
    <w:qFormat/>
  </w:style>
  <w:style w:type="paragraph" w:styleId="TOAHeading">
    <w:name w:val="toa heading"/>
    <w:basedOn w:val="Normal"/>
    <w:next w:val="Normal"/>
    <w:uiPriority w:val="99"/>
    <w:semiHidden/>
    <w:unhideWhenUsed/>
    <w:qFormat/>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TOCHeading">
    <w:name w:val="TOC Heading"/>
    <w:basedOn w:val="Heading1"/>
    <w:next w:val="Normal"/>
    <w:uiPriority w:val="39"/>
    <w:semiHidden/>
    <w:unhideWhenUsed/>
    <w:qFormat/>
    <w:pPr>
      <w:keepLines w:val="0"/>
      <w:spacing w:before="240" w:after="60"/>
      <w:ind w:left="0" w:firstLine="0"/>
    </w:pPr>
    <w:rPr>
      <w:rFonts w:ascii="Calibri Light" w:eastAsia="DengXian Light" w:hAnsi="Calibri Light"/>
      <w:kern w:val="2"/>
      <w:sz w:val="32"/>
      <w:szCs w:val="32"/>
    </w:rPr>
  </w:style>
  <w:style w:type="paragraph" w:customStyle="1" w:styleId="HeadingStrongCentred">
    <w:name w:val="Heading Strong Centred"/>
    <w:basedOn w:val="HeadingStrong"/>
    <w:qFormat/>
    <w:pPr>
      <w:jc w:val="center"/>
    </w:pPr>
  </w:style>
  <w:style w:type="paragraph" w:customStyle="1" w:styleId="TitleA">
    <w:name w:val="Title A"/>
    <w:basedOn w:val="Title"/>
    <w:qFormat/>
  </w:style>
  <w:style w:type="paragraph" w:customStyle="1" w:styleId="TitleB">
    <w:name w:val="Title B"/>
    <w:basedOn w:val="Heading1"/>
    <w:qFormat/>
  </w:style>
  <w:style w:type="paragraph" w:customStyle="1" w:styleId="normal10pt">
    <w:name w:val="normal_10pt"/>
    <w:basedOn w:val="Normal"/>
    <w:qFormat/>
    <w:rPr>
      <w:sz w:val="20"/>
    </w:rPr>
  </w:style>
  <w:style w:type="paragraph" w:customStyle="1" w:styleId="Normal10pt0">
    <w:name w:val="Normal 10pt"/>
    <w:basedOn w:val="Normal"/>
    <w:qFormat/>
    <w:pPr>
      <w:ind w:left="142" w:hanging="142"/>
    </w:pPr>
    <w:rPr>
      <w:sz w:val="20"/>
    </w:rPr>
  </w:style>
  <w:style w:type="paragraph" w:customStyle="1" w:styleId="ParaText">
    <w:name w:val="Para Text"/>
    <w:basedOn w:val="Normal"/>
    <w:qFormat/>
    <w:rsid w:val="005824F2"/>
    <w:pPr>
      <w:suppressAutoHyphens w:val="0"/>
      <w:spacing w:before="160" w:after="200" w:line="320" w:lineRule="exact"/>
    </w:pPr>
    <w:rPr>
      <w:rFonts w:eastAsia="Calibri"/>
      <w:sz w:val="24"/>
      <w:szCs w:val="24"/>
      <w:lang w:val="en-US" w:eastAsia="en-US"/>
    </w:rPr>
  </w:style>
  <w:style w:type="paragraph" w:customStyle="1" w:styleId="TableFigureNote">
    <w:name w:val="Table/Figure Note"/>
    <w:basedOn w:val="Normal"/>
    <w:link w:val="TableFigureNoteChar"/>
    <w:qFormat/>
    <w:rsid w:val="005824F2"/>
    <w:pPr>
      <w:suppressAutoHyphens w:val="0"/>
      <w:spacing w:before="40" w:line="220" w:lineRule="exact"/>
      <w:ind w:left="144" w:hanging="144"/>
      <w:jc w:val="both"/>
    </w:pPr>
    <w:rPr>
      <w:rFonts w:eastAsia="Times New Roman"/>
      <w:sz w:val="20"/>
      <w:szCs w:val="24"/>
      <w:lang w:val="en-US" w:eastAsia="en-US"/>
    </w:rPr>
  </w:style>
  <w:style w:type="paragraph" w:styleId="Revision">
    <w:name w:val="Revision"/>
    <w:uiPriority w:val="99"/>
    <w:semiHidden/>
    <w:qFormat/>
    <w:rsid w:val="009C6ABB"/>
    <w:rPr>
      <w:rFonts w:ascii="Times New Roman" w:hAnsi="Times New Roman"/>
      <w:sz w:val="22"/>
      <w:szCs w:val="22"/>
      <w:lang w:val="fi-FI"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tblPr>
      <w:tblCellMar>
        <w:left w:w="0" w:type="dxa"/>
        <w:right w:w="0" w:type="dxa"/>
      </w:tblCellMar>
    </w:tblPr>
  </w:style>
  <w:style w:type="table" w:customStyle="1" w:styleId="Standard1">
    <w:name w:val="Standard1"/>
    <w:basedOn w:val="TableNormal"/>
    <w:uiPriority w:val="99"/>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style>
  <w:style w:type="character" w:styleId="Hyperlink">
    <w:name w:val="Hyperlink"/>
    <w:basedOn w:val="DefaultParagraphFont"/>
    <w:uiPriority w:val="99"/>
    <w:rsid w:val="000E24ED"/>
    <w:rPr>
      <w:rFonts w:cs="Times New Roman"/>
      <w:color w:val="0000FF"/>
      <w:u w:val="single"/>
    </w:rPr>
  </w:style>
  <w:style w:type="character" w:styleId="FollowedHyperlink">
    <w:name w:val="FollowedHyperlink"/>
    <w:basedOn w:val="DefaultParagraphFont"/>
    <w:uiPriority w:val="99"/>
    <w:semiHidden/>
    <w:unhideWhenUsed/>
    <w:rsid w:val="00262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mea.fi" TargetMode="External"/><Relationship Id="rId24" Type="http://schemas.openxmlformats.org/officeDocument/2006/relationships/image" Target="media/image1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fimea.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0B7FD60883B4595285877F6B2DA8F" ma:contentTypeVersion="7" ma:contentTypeDescription="Create a new document." ma:contentTypeScope="" ma:versionID="606fa08180539d0a690751969fa4b4c2">
  <xsd:schema xmlns:xsd="http://www.w3.org/2001/XMLSchema" xmlns:xs="http://www.w3.org/2001/XMLSchema" xmlns:p="http://schemas.microsoft.com/office/2006/metadata/properties" xmlns:ns2="7f8758ac-3d05-471f-b31d-1acee670e100" xmlns:ns3="8078488c-0acb-4e0f-be5f-8fa19057aa1b" targetNamespace="http://schemas.microsoft.com/office/2006/metadata/properties" ma:root="true" ma:fieldsID="2bb576ecf2b33f7379ffbe37d5850ee9" ns2:_="" ns3:_="">
    <xsd:import namespace="7f8758ac-3d05-471f-b31d-1acee670e100"/>
    <xsd:import namespace="8078488c-0acb-4e0f-be5f-8fa19057aa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58ac-3d05-471f-b31d-1acee670e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8488c-0acb-4e0f-be5f-8fa19057aa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f8758ac-3d05-471f-b31d-1acee670e100">
      <UserInfo>
        <DisplayName/>
        <AccountId xsi:nil="true"/>
        <AccountType/>
      </UserInfo>
    </SharedWithUsers>
  </documentManagement>
</p:properties>
</file>

<file path=customXml/itemProps1.xml><?xml version="1.0" encoding="utf-8"?>
<ds:datastoreItem xmlns:ds="http://schemas.openxmlformats.org/officeDocument/2006/customXml" ds:itemID="{EBB6E202-D047-405B-A865-4CD4234F431C}">
  <ds:schemaRefs>
    <ds:schemaRef ds:uri="http://schemas.openxmlformats.org/officeDocument/2006/bibliography"/>
  </ds:schemaRefs>
</ds:datastoreItem>
</file>

<file path=customXml/itemProps2.xml><?xml version="1.0" encoding="utf-8"?>
<ds:datastoreItem xmlns:ds="http://schemas.openxmlformats.org/officeDocument/2006/customXml" ds:itemID="{F3AB9021-AE63-43BA-A587-039592F18EEB}">
  <ds:schemaRefs>
    <ds:schemaRef ds:uri="http://schemas.microsoft.com/sharepoint/v3/contenttype/forms"/>
  </ds:schemaRefs>
</ds:datastoreItem>
</file>

<file path=customXml/itemProps3.xml><?xml version="1.0" encoding="utf-8"?>
<ds:datastoreItem xmlns:ds="http://schemas.openxmlformats.org/officeDocument/2006/customXml" ds:itemID="{744C80C7-1DC7-4692-9CC7-004B169D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58ac-3d05-471f-b31d-1acee670e100"/>
    <ds:schemaRef ds:uri="8078488c-0acb-4e0f-be5f-8fa19057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A1016-D587-4EFB-98B2-738ED31F79D1}">
  <ds:schemaRefs>
    <ds:schemaRef ds:uri="http://schemas.microsoft.com/office/2006/metadata/properties"/>
    <ds:schemaRef ds:uri="http://schemas.microsoft.com/office/infopath/2007/PartnerControls"/>
    <ds:schemaRef ds:uri="7f8758ac-3d05-471f-b31d-1acee670e1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6635</Words>
  <Characters>41802</Characters>
  <Application>Microsoft Office Word</Application>
  <DocSecurity>0</DocSecurity>
  <Lines>348</Lines>
  <Paragraphs>96</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Vaxchora, Cholera Vaccine (recombinant, live, oral)</vt:lpstr>
      <vt:lpstr/>
      <vt:lpstr/>
    </vt:vector>
  </TitlesOfParts>
  <Manager/>
  <Company/>
  <LinksUpToDate>false</LinksUpToDate>
  <CharactersWithSpaces>48341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Vaxchora, Cholera Vaccine (recombinant, live, oral)</dc:title>
  <dc:subject>EPAR</dc:subject>
  <dc:creator>CHMP</dc:creator>
  <cp:keywords>Vaxchora, Cholera Vaccine (recombinant, live, oral)</cp:keywords>
  <dc:description/>
  <cp:lastModifiedBy>Estelle Truchet</cp:lastModifiedBy>
  <cp:revision>7</cp:revision>
  <dcterms:created xsi:type="dcterms:W3CDTF">2024-12-08T13:42:00Z</dcterms:created>
  <dcterms:modified xsi:type="dcterms:W3CDTF">2025-01-20T15:57:00Z</dcterms:modified>
  <cp:category/>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0x010100B7E0B7FD60883B4595285877F6B2DA8F</vt:lpwstr>
  </property>
</Properties>
</file>